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https://www.cnmc.es/expedientes/c120621</w:t>
      </w:r>
    </w:p>
    <w:p>
      <w:r>
        <w:t>Pages translated : 1</w:t>
      </w:r>
    </w:p>
    <w:p/>
    <w:p>
      <w:r>
        <w:rPr>
          <w:b/>
        </w:rPr>
        <w:t>[Pages 1–1]</w:t>
      </w:r>
    </w:p>
    <w:p>
      <w:r>
        <w:t>RESOLUTION</w:t>
        <w:br/>
        <w:t>CASE FILE C/1206/21 TRINITY / CONDOR</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16, 2021</w:t>
        <w:br/>
        <w:t>The Competition Chamber has analyzed the concentration case file processed in accordance with Law 15/2007, of July 3, on the Defense of Competition, consisting of the acquisition of exclusive control over CONDOR FLUGDIENST GMBH ("CONDOR") by TRINITY INVESTMENTS DESIGNATED ACTIVITY COMPANY (“Trinity”) with the acquisition of 49% of the share capital from SG LUFTFAHRT GMBH (“SG Luftfahrt”), which is currently the holder of all the shares. According to the report and the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