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https://www.cnmc.es/expedientes/c120921</w:t>
      </w:r>
    </w:p>
    <w:p>
      <w:r>
        <w:t>Pages translated : 2</w:t>
      </w:r>
    </w:p>
    <w:p/>
    <w:p>
      <w:r>
        <w:rPr>
          <w:b/>
        </w:rPr>
        <w:t>[Pages 1–2]</w:t>
      </w:r>
    </w:p>
    <w:p>
      <w:r>
        <w:t>RESOLUTION</w:t>
        <w:br/>
        <w:t>CASE FILE C/1209/21 PROA CAPITAL and ANÉMONA/AMARA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June 22, 2021</w:t>
        <w:br/>
        <w:t>The Competition Chamber has analyzed the concentration file processed in accordance with Law 15/2007, of July 3, on the Defense of Competition, consisting of the acquisition by a private equity fund, ProA Capital Iberian Buyout Fund III, F.C.R. (hereinafter, PROA FUND), managed by ProA Capital de Inversiones, S.G.E.I.C., S.A.U. (hereinafter, PROA CAPITAL), and Anémona Gestión, S.L. (hereinafter, ANÉMONA) of joint control ([CONFIDENTIAL]% of the share capital) over Amara, S.A.U. (hereinafter, AMARA), currently exclusively controlled by ANÉMONA. In accordance with the report and proposal submitted by the Competition Directorate, the Competition Chamber has resolved, under the application of Article 57.2.a) of the aforementioned Law 15/2007, of July 3, to authorize the aforementioned concentration operation.</w:t>
        <w:b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they will not be regarded as ancillary and necessary restrictions for the operation, thus remaining subject to the regulations on agreements between companies: i) with respect to the non-competition clause of the Contract, any limitation on the holding of shares in competing businesses for financial investment purposes, regardless of the percentage of participation, as well as its geographical scope in all that exceeds the territories in which the participating company operates, ii) with respect to the non-competition clause of the Shareholders' Agreement, any limitation on minority shareholders, who do not exercise control of the participating company; its geographical scope, in all that exceeds the territories in which the participating company operates; its duration, in all that exceeds the duration of the participating company and/or maintenance of the status of shareholders and iii) with respect to the non-solicitation clause, in the event that the Restriction Period could exceed the duration of the participating company.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