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https://www.cnmc.es/expedientes/c121021</w:t>
      </w:r>
    </w:p>
    <w:p>
      <w:r>
        <w:t>Pages translated : 2</w:t>
      </w:r>
    </w:p>
    <w:p/>
    <w:p>
      <w:r>
        <w:rPr>
          <w:b/>
        </w:rPr>
        <w:t>[Pages 1–2]</w:t>
      </w:r>
    </w:p>
    <w:p>
      <w:r>
        <w:t>RESOLUTION</w:t>
        <w:br/>
        <w:t>CASE FILE C/1210/21 LUXIDA / SANTA CLARA</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July 27, 2021</w:t>
        <w:br/>
        <w:t>The Competition Chamber has analyzed the concentration case file processed in accordance with Law 15/2007, of July 3, on the Defense of Competition, consisting of the acquisition by LUXIDA SL (hereinafter LUXIDA or the notifier) of exclusive control of ELECTRICA SANTA CLARA, S.L. (ELECTRICA) from its current partners. In accordance with the report and proposal submitted by the Competition Directorate, the Competition Chamber has resolved, in application of Article 57.2.a) of the aforementioned Law 15/2007, of July 3, to authorize the aforementioned concentration operation.</w:t>
        <w:b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in the present case, it goes beyond what is reasonable, not being deemed necessary or accessory, and therefore remains subject to the regulations on agreements between companies, regarding the content of the non-compete clause, any limitation on competition beyond the territory in which the seller offered the reference products or services prior to the transfer. All of this in accordance with what is indicated in the aforementioned report proposal from the Competition Directorate.</w:t>
        <w:br/>
        <w:t>Alcalá 47 · 28014 Madrid – Bolivia 56 · 08018 Barcelona · Tel.: 91 4329600 / 93 6036200 · www.cnmc.es</w:t>
      </w:r>
    </w:p>
    <w:p>
      <w:r>
        <w:t>Communicate this Resolution to the Competition Directorate of the National Commission of Markets and Competition and notify the interested party, informing them that this concludes the administrative process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