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https://www.cnmc.es/expedientes/c121321</w:t>
      </w:r>
    </w:p>
    <w:p>
      <w:r>
        <w:t>Pages translated : 2</w:t>
      </w:r>
    </w:p>
    <w:p/>
    <w:p>
      <w:r>
        <w:rPr>
          <w:b/>
        </w:rPr>
        <w:t>[Pages 1–2]</w:t>
      </w:r>
    </w:p>
    <w:p>
      <w:r>
        <w:t>RESOLUTION</w:t>
        <w:br/>
        <w:t>CASE FILE C/1213/21 ABAC SOLUTION/SERGAVE</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July 27, 2021</w:t>
      </w:r>
    </w:p>
    <w:p>
      <w:r>
        <w:t>The Competition Chamber has analyzed the concentration case file processed in accordance with Law 15/2007, of July 3, on the Defense of Competition, consisting of the acquisition by Abac Solutions (SCA) SICAR (ABAC SOLUTIONS), through its subsidiaries Nuzoa Animal Health S.L. (NUZOA) and Maipe Comercial S.L. (MAIPE), of 88% of the share capital and thereby exclusive control of Sergave S.L. (SERGAVE). In accordance with the report and the proposal submitted by the Directorate of Competition, the Competition Chamber has resolved, applying Article 57.2.a) of the aforementioned Law 15/2007, of July 3, to authorize the aforementioned concentration operation.</w:t>
      </w:r>
    </w:p>
    <w:p>
      <w: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it goes beyond what is reasonable and will not be considered accessory or necessary for the operation, thus remaining subject to the regulations on agreements between companies, the following:</w:t>
      </w:r>
    </w:p>
    <w:p>
      <w:r>
        <w:t>i. The durations of non-competition and non-solicitation clauses, to the extent that they exceed two (2) years,</w:t>
        <w:br/>
        <w:t>ii. Any limitation on the acquisition or holding of shares in a competing company for purely financial investment purposes, which do not confer directly or indirectly management functions or substantial influence in the same,</w:t>
      </w:r>
    </w:p>
    <w:p>
      <w:r>
        <w:t>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