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https://www.cnmc.es/expedientes/c121421</w:t>
      </w:r>
    </w:p>
    <w:p>
      <w:r>
        <w:t>Pages translated : 1</w:t>
      </w:r>
    </w:p>
    <w:p/>
    <w:p>
      <w:r>
        <w:rPr>
          <w:b/>
        </w:rPr>
        <w:t>[Pages 1–1]</w:t>
      </w:r>
    </w:p>
    <w:p>
      <w:r>
        <w:t>RESOLUTION</w:t>
        <w:br/>
        <w:t>FILE NO. C/1214/21 PAPER EXCELLENCE / DOMTAR</w:t>
        <w:br/>
        <w:t>COUNCIL. 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July 13, 2021</w:t>
        <w:br/>
        <w:t>The Competition Chamber has analyzed the merger file processed in accordance with Law 15/2007, of July 3, on the Defense of Competition, consisting of the acquisition of exclusive control of Domtar Corporation by Karta Halten B.V. along with its subsidiaries of the PAPER EXCELLENCE Group. In accordance with the report and proposal submitted by the Competition Directorate, the Competition Chamber has resolved, in application of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