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https://www.cnmc.es/expedientes/c121521</w:t>
      </w:r>
    </w:p>
    <w:p>
      <w:r>
        <w:t>Pages translated : 2</w:t>
      </w:r>
    </w:p>
    <w:p/>
    <w:p>
      <w:r>
        <w:rPr>
          <w:b/>
        </w:rPr>
        <w:t>[Pages 1–2]</w:t>
      </w:r>
    </w:p>
    <w:p>
      <w:r>
        <w:t>RESOLUTION</w:t>
        <w:br/>
        <w:t>FILE NO. C/1215/21 LUXIDA / DISTRIBUIDORA LAS MERCEDES</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July 27, 2021</w:t>
        <w:br/>
        <w:t>The Competition Chamber has analyzed the merger file processed in accordance with Law 15/2007, of July 3, on the Defense of Competition, consisting of the acquisition by LUXIDA SL (LUXIDA) of exclusive control over DISTRIBUCIÓN ELÉCTRICA LAS MERCEDES S.L (DLM) from its current partners. In accordance with the report and proposal submitted by the Competition Directorate, the Competition Chamber has resolved, in application of article 57.2.a) of the aforementioned Law 15/2007, of July 3, to authorize the said merger operation.</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the present case it goes beyond what is reasonable, not being deemed necessary or accessory, thus remaining subject to the regulations on agreements between companies, the following:</w:t>
        <w:br/>
        <w:t>i. Regarding the content of the non-compete clause, any limitation on competition beyond the territory in which the seller offered the reference products or services prior to the transfer.</w:t>
        <w:br/>
        <w:t>ii. Regarding the content of the confidentiality clause, in all that exceeds a duration of two years.</w:t>
        <w:br/>
        <w:t>All of this in accordance with what is indicated in the aforementioned report proposal from the Competition Directorate.</w:t>
        <w:br/>
        <w:t>Alcalá 47 · 28014 Madrid – Bolivia 56 · 08018 Barcelona · Tel.: 91 4329600 / 93 6036200 · www.cnmc.es</w:t>
      </w:r>
    </w:p>
    <w:p>
      <w:r>
        <w:t>Communicate this Resolution to the Competition Directorate of the National Commission on Markets and Competition and notify the interested party, informing them that it concludes the administrative process and that a contentious-administrative appeal can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