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https://www.cnmc.es/expedientes/c121621</w:t>
      </w:r>
    </w:p>
    <w:p>
      <w:r>
        <w:t>Pages translated : 2</w:t>
      </w:r>
    </w:p>
    <w:p/>
    <w:p>
      <w:r>
        <w:rPr>
          <w:b/>
        </w:rPr>
        <w:t>[Pages 1–2]</w:t>
      </w:r>
    </w:p>
    <w:p>
      <w:r>
        <w:t>RESOLUTION</w:t>
        <w:br/>
        <w:t>FILE NO. C/1216/21 EVERARC / SK INTERMEDIATE</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July 20, 2021</w:t>
        <w:br/>
        <w:t>The Competition Chamber has analyzed the merger file processed in accordance with Law 15/2007, of July 3, on the Defense of Competition, consisting of the acquisition of exclusive control of SK INVICTUS INTERMEDIATE S.À.R.L (SK INTERMEDIATE) by EVERARC HOLDINGS LIMITED (EVERARC). In accordance with the report and proposal submitted by the Competition Directorate, the Competition Chamber has resolved, in application of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with respect to the content of the non-compete clause, any limitation on the acquisition or holding of shares in a company, whether or not it competes with the acquired company, for exclusively financial investment purposes that does not confer directly or indirectly management functions or substantial influence in the competing company, is deemed unnecessary for the execution of the operation, and is therefore subject to the general regulations applicable to agreements between companies. 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