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https://www.cnmc.es/expedientes/c121721</w:t>
      </w:r>
    </w:p>
    <w:p>
      <w:r>
        <w:t>Pages translated : 2</w:t>
      </w:r>
    </w:p>
    <w:p/>
    <w:p>
      <w:r>
        <w:rPr>
          <w:b/>
        </w:rPr>
        <w:t>[Pages 1–2]</w:t>
      </w:r>
    </w:p>
    <w:p>
      <w:r>
        <w:t>RESOLUTION</w:t>
        <w:br/>
        <w:t>CASE FILE C/1217/21 SCGP/DELTALAB</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July 27, 2021</w:t>
      </w:r>
    </w:p>
    <w:p>
      <w:r>
        <w:t>The Competition Chamber has analyzed the merger case file processed in accordance with Law 15/2007, of July 3, on the Defense of Competition, consisting of the acquisition of exclusive control by SCG PACKAGING, PLC (hereinafter, SCGP or the Notifier), of DELTALAB, S.L. (hereinafter, DELTALAB). In accordance with the report and proposal submitted by the Competition Directorate, the Competition Chamber has resolved, pursuant to Article 57.2.a) of the aforementioned Law 15/2007, of July 3, to authorize the aforementioned merger operation.</w:t>
      </w:r>
    </w:p>
    <w:p>
      <w: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in the present case it goes beyond what is reasonable, not being deemed necessary or accessory, and therefore subject to the regulations on agreements between companies, the following:</w:t>
        <w:br/>
        <w:t>i. any limitation on competition beyond the territories in which the transferred business was active in the present operation.</w:t>
        <w:br/>
        <w:t>ii. the duration of the confidentiality clause, in all that exceeds three (3) years.</w:t>
      </w:r>
    </w:p>
    <w:p>
      <w:r>
        <w:t>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