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https://www.cnmc.es/expedientes/c121821</w:t>
      </w:r>
    </w:p>
    <w:p>
      <w:r>
        <w:t>Pages translated : 1</w:t>
      </w:r>
    </w:p>
    <w:p/>
    <w:p>
      <w:r>
        <w:rPr>
          <w:b/>
        </w:rPr>
        <w:t>[Pages 1–1]</w:t>
      </w:r>
    </w:p>
    <w:p>
      <w:r>
        <w:t>RESOLUTION</w:t>
        <w:br/>
        <w:t>CASE FILE C/1218/21 CHARTERHOUSE/CALYPSO</w:t>
        <w:br/>
        <w:t>COUNCIL. COMPETITION CHAMBER</w:t>
        <w:br/>
        <w:t>President</w:t>
        <w:br/>
        <w:t>Ms. Cani Fernández Vicién</w:t>
        <w:br/>
        <w:t>Council Members</w:t>
        <w:br/>
        <w:t>Ms. María Ortiz Aguilar</w:t>
        <w:br/>
        <w:t>Ms. María Pilar Canedo Arrillaga</w:t>
        <w:br/>
        <w:t>Mr. Carlos Aguilar Paredes</w:t>
        <w:br/>
        <w:t>Mr. Josep Maria Salas Prat</w:t>
        <w:br/>
        <w:t>Secretary of the Council</w:t>
        <w:br/>
        <w:t>Mr. Joaquim Hortalà i Vallvé</w:t>
        <w:br/>
        <w:t>In Madrid, September 14, 2021</w:t>
        <w:br/>
        <w:t xml:space="preserve">The Competition Chamber has analyzed the merger case file processed in accordance with Law 15/2007, of July 3, on the Defense of Competition, consisting of the acquisition by CHARTERHOUSE GP LLP (CHARTERHOUSE), in turn controlled by WATLING STREET CAPITAL PARTNERS LLP, of CALYPSO INVESTMENTS B.V. (CALYPSO). In accordance with the report and proposal submitted by the Competition Directorate, the Competition Chamber has resolved, in application of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