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https://www.cnmc.es/expedientes/c121921</w:t>
      </w:r>
    </w:p>
    <w:p>
      <w:r>
        <w:t>Pages translated : 2</w:t>
      </w:r>
    </w:p>
    <w:p/>
    <w:p>
      <w:r>
        <w:rPr>
          <w:b/>
        </w:rPr>
        <w:t>[Pages 1–2]</w:t>
      </w:r>
    </w:p>
    <w:p>
      <w:r>
        <w:t>RESOLUTION</w:t>
        <w:br/>
        <w:t>CASE FILE C/1219/21 RIBERA SALUD / MARINA SALUD</w:t>
        <w:br/>
        <w:t>COUNCIL. COMPETITION CHAMBER</w:t>
        <w:br/>
        <w:t>President</w:t>
        <w:br/>
        <w:t>Ms. María Ortiz Aguilar</w:t>
        <w:br/>
        <w:t>Councilors</w:t>
        <w:br/>
        <w:t>Ms. María Pilar Canedo Arrillaga</w:t>
        <w:br/>
        <w:t>Mr. Carlos Aguilar Paredes</w:t>
        <w:br/>
        <w:t>Mr. Josep Maria Salas Prat</w:t>
        <w:br/>
        <w:t>Secretary of the Council</w:t>
        <w:br/>
        <w:t>Mr. Joaquim Hortalà i Vallvé</w:t>
        <w:br/>
        <w:t>In Madrid, September 7, 2021</w:t>
        <w:br/>
        <w:t>The Competition Chamber has analyzed the concentration file processed in accordance with Law 15/2007, of July 3, on the Defense of Competition, consisting of the acquisition of exclusive control over MARINA SALUD S.A. (MARINA SALUD) by RIBERA SALUD S.A. (RIBERA SALUD). In accordance with the report and proposal submitted by the Competition Directorate, the Competition Chamber has resolved, pursuant to article 57.2.a) of the aforementioned Law 15/2007, of July 3, to authorize the aforementioned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geographical scope of the non-compete clause (insofar as it exceeds the area in which the acquired entity was providing its services), the extension to the buyer of the confidentiality obligation, and its temporal scope (everything that exceeds two years from the Communication) go beyond what is reasonably required by the notified concentration operation and are therefore subject to the general regulations applicable to agreements between companies. All of this in accordance with what is indicated in the aforementioned report proposal from the Competition Directorate, in compliance with Law 15/2007, of July 3, and without prejudice to the provisions of other sectoral regulations.</w:t>
        <w:br/>
        <w:t>Alcalá 47 · 28014 Madrid – Bolivia 56 · 08018 Barcelona · Tel.: 91 4329600 / 93 6036200 · www.cnmc.es</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