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https://www.cnmc.es/expedientes/c122021</w:t>
      </w:r>
    </w:p>
    <w:p>
      <w:r>
        <w:t>Pages translated : 2</w:t>
      </w:r>
    </w:p>
    <w:p/>
    <w:p>
      <w:r>
        <w:rPr>
          <w:b/>
        </w:rPr>
        <w:t>[Pages 1–2]</w:t>
      </w:r>
    </w:p>
    <w:p>
      <w:r>
        <w:t>RESOLUTION</w:t>
        <w:br/>
        <w:t>CASE FILE C/1220/21 TURNITIN / OURIGINAL</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Miguel Bordiu García-Ovies</w:t>
        <w:br/>
        <w:t>In Barcelona, October 19, 2021</w:t>
        <w:br/>
        <w:t>The Competition Chamber has analyzed the concentration case file processed in accordance with Law 15/2007, of July 3, on the Defense of Competition, consisting of the acquisition by Newhouse Broadcasting Corporation and Advance Publications, Inc. (jointly A/N GROUP), through their indirect subsidiary Turnitin LLC (TURNITIN), of exclusive control of Ouriginal Group AB (OURIGINAL). In accordance with the report and proposal submitted by the Competition Directorate, the Competition Chamber has resolved, under the application of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as far as Spain is concerned, the non-solicitation and non-competition clauses should be understood as included and authorized in the operation. Regarding the confidentiality agreement, it is considered that it goes beyond what is required for the operation, thus remaining subject to the general regulations applicable to agreements between companies regarding the restrictions imposed on the buyer and concerning the restrictions on the seller that exceed two years. All of this in accordance with what is indicated in the aforementioned report proposal from the Competition Directorate.</w:t>
        <w:br/>
        <w:t>Alcalá 47 · 28014 Madrid – Bolivia 56 · 08018 Barcelona · Tel.: 91 4329600 / 93 6036200 · www.cnmc.es</w:t>
      </w:r>
    </w:p>
    <w:p>
      <w:r>
        <w:t>Communicate this Resolution to the Competition Directorate of the National Commission on Markets and Competition and notify the interested party, informing them that this concludes the administrative process and that a contentious-administrative appeal can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