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https://www.cnmc.es/expedientes/c122121</w:t>
      </w:r>
    </w:p>
    <w:p>
      <w:r>
        <w:t>Pages translated : 1</w:t>
      </w:r>
    </w:p>
    <w:p/>
    <w:p>
      <w:r>
        <w:rPr>
          <w:b/>
        </w:rPr>
        <w:t>[Pages 1–1]</w:t>
      </w:r>
    </w:p>
    <w:p>
      <w:r>
        <w:t>RESOLUTION</w:t>
        <w:br/>
        <w:t>FILE NO. C/1221/21 MKS / ATOTECH</w:t>
        <w:br/>
        <w:t>COUNCIL. 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September 7, 2021</w:t>
        <w:br/>
        <w:t>The Competition Chamber has analyzed the merger file processed in accordance with Law 15/2007, of July 3, on the Defense of Competition, consisting of the acquisition of exclusive control by MKS Instruments, Inc., over ATOTECH B.V. In accordance with the report and proposal submitted by the Competition Directorate, the Competition Chamber has resolved, pursuant to article 57.2.a) of the aforementioned Law 15/2007, of July 3, to authorize the said merger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