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https://www.cnmc.es/expedientes/c122221</w:t>
      </w:r>
    </w:p>
    <w:p>
      <w:r>
        <w:t>Pages translated : 2</w:t>
      </w:r>
    </w:p>
    <w:p/>
    <w:p>
      <w:r>
        <w:rPr>
          <w:b/>
        </w:rPr>
        <w:t>[Pages 1–2]</w:t>
      </w:r>
    </w:p>
    <w:p>
      <w:r>
        <w:t>RESOLUTION</w:t>
        <w:br/>
        <w:t>CASE FILE C/1222/21 CAIXABANK/BANKIA MAPFRE VIDA</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September 7, 2021</w:t>
        <w:br/>
        <w:t>The Competition Chamber has analyzed the concentration case file processed in accordance with Law 15/2007, of July 3, on the Defense of Competition, consisting of the acquisition by CAIXABANK, S.A. (hereinafter, CAIXABANK) of exclusive control over BANKIA MAPFRE VIDA, S.A. (hereinafter, BMV), over which it already had joint control with MAPFRE VIDA, S.A. DE SEGUROS Y REASEGUROS SOBRE LA VIDA HUMANA (hereinafter, MAPFRE), holder of 51% of the capital subject to acquisition. In accordance with the report and proposal submitted by the Directorate of Competition, the Competition Chamber has resolved, applying Article 57.2.a) of the aforementioned Law 15/2007, of July 3, to authorize the aforementioned concentration operation.</w:t>
        <w:br/>
        <w:t>Likewise, regarding the pending sale contract to be signed, this Chamber considers that with respect to the document that is ultimately signed, anything that exceeds in content and duration what is established in the Communication from the European Commission on restrictions directly linked to the execution of a concentration and necessary for that purpose (2005/C 56/03), shall not be considered either necessary or accessory, remaining subject to the regulations on agreements between companies. All of this in accordance with what is indicated in the aforementioned report proposal from the Directorate of Competition.</w:t>
        <w:br/>
        <w:t>Alcalá 47 · 28014 Madrid – Bolivia 56 · 08018 Barcelona · Tel.: 91 4329600 / 93 6036200 · www.cnmc.es</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