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https://www.cnmc.es/expedientes/c122321</w:t>
      </w:r>
    </w:p>
    <w:p>
      <w:r>
        <w:t>Pages translated : 1</w:t>
      </w:r>
    </w:p>
    <w:p/>
    <w:p>
      <w:r>
        <w:rPr>
          <w:b/>
        </w:rPr>
        <w:t>[Pages 1–1]</w:t>
      </w:r>
    </w:p>
    <w:p>
      <w:r>
        <w:t>RESOLUTION</w:t>
        <w:br/>
        <w:t>CASE FILE C/1223/21 PRIM@VER - OLANO / TMF</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September 14, 2021</w:t>
        <w:br/>
        <w:t xml:space="preserve">The Competition Chamber has analyzed the merger case file processed in accordance with Law 15/2007, of July 3, on the Defense of Competition, consisting of the acquisition of joint control of T.M.F TRANSPORTS SAS, LOGISTIQUE TRANSPORTS FRIGO MARCEL OMONT, ANTRANS TRACTION LOCATION SERVICES, and TMF SERVICES (TMF Group) through the company Aquitaine Transport Management Services (“ATMS”), a recently established company jointly controlled by PRIM@EVER S.A. and OLANO SERVICES S.A.S. (OLANO). In accordance with the report and proposal submitted by the Directorate of Competition, the Competition Chamber has resolved, under the application of Article 57.2.a) of the aforementioned Law 15/2007, of July 3, to authorize the aforementioned merger operation.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