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https://www.cnmc.es/expedientes/c122421</w:t>
      </w:r>
    </w:p>
    <w:p>
      <w:r>
        <w:t>Pages translated : 1</w:t>
      </w:r>
    </w:p>
    <w:p/>
    <w:p>
      <w:r>
        <w:rPr>
          <w:b/>
        </w:rPr>
        <w:t>[Pages 1–1]</w:t>
      </w:r>
    </w:p>
    <w:p>
      <w:r>
        <w:t>RESOLUTION</w:t>
        <w:br/>
        <w:t>CASE FILE C/1224/21 APOLLO / GRUPO AEROMEXICANO</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Joaquim Hortalà i Vallvé</w:t>
        <w:br/>
        <w:t>In Madrid, September 14, 2021</w:t>
        <w:br/>
        <w:t>The Competition Chamber has analyzed the merger case file processed in accordance with Law 15/2007, of July 3, on the Defense of Competition, consisting of the acquisition of control by APOLLO MANAGEMENT L.P. (APOLLO) of GRUPO AEROMÉXICO, S.A.B de C.V. (GAM) through the conversion of its participation in a loan into shares, via an entity created for these purposes, Alpage Debt Holdings, S.A.R.L. According to the report and the proposal submitted by the Directorate of Competition, the Competition Chamber has resolved, in application of Article 57.2.a) of the aforementioned Law 15/2007, of July 3, to authorize the aforementioned merger operation.</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