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https://www.cnmc.es/expedientes/c122521</w:t>
      </w:r>
    </w:p>
    <w:p>
      <w:r>
        <w:t>Pages translated : 2</w:t>
      </w:r>
    </w:p>
    <w:p/>
    <w:p>
      <w:r>
        <w:rPr>
          <w:b/>
        </w:rPr>
        <w:t>[Pages 1–2]</w:t>
      </w:r>
    </w:p>
    <w:p>
      <w:r>
        <w:t>RESOLUTION</w:t>
        <w:br/>
        <w:t>CASE FILE C/1225/21 MUTUA MADRILEÑA / EL PARKING INTERNET, S.L.U., and TASPAN GROUP, S.L.</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September 14, 2021</w:t>
        <w:br/>
        <w:t>The Competition Chamber has analyzed the merger case file processed in accordance with Law 15/2007, of July 3, on the Defense of Competition, consisting of the acquisition of exclusive control (100% of the shares) of TASPAN GROUP, S.L. and EL PARKING INTERNET, S.L.U., by MUTUA MADRILEÑA AUTOMOVILISTA, SOCIEDAD DE SEGUROS A PRIMA FIJA (MUTUA MADRILEÑA). The seller of ELPARKING is ESTACIONAMIENTOS Y SERVICIOS S.A. (EYSA) and those of TASPAN, EYSA (which holds 85%), Frasiete S.L., and two individuals. ELPARKING has subsidiaries abroad that are outside the scope of the operation. According to the report and proposal submitted by the Competition Directorate, the Competition Chamber has resolved, in application of Article 57.2.a) of the aforementioned Law 15/2007, of July 3, to authorize the aforementioned merger operation.</w:t>
        <w:b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as far as Spain is concerned, the following clauses can be considered ancillary and necessary to the merger operation and should be understood as included within it and authorized, where applicable, with it: (i) the non-competition clause regarding the seller; (ii) the non-solicitation clause; (iii) the confidentiality clause for a period not exceeding 3 years; (iv) the marketing agreements between EYSA and ELPARKING insofar as they do not exceed 5 years, nor refer to (a) future contracts in locations where EYSA did not previously operate nor (b) the obligation of EYSA to recommend the services of ELPARKING to other potential partners, nor (c) regarding the most favored nation clause; (v) the collaboration agreement between EYSA and TASPAN except for what exceeds the continuation of services that were being provided prior to the operation for a period not exceeding 5 years and in particular regarding any new projects; and (vi) the transitional service agreements. Anything beyond this will be subject to the regulations on agreements between companies.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