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https://www.cnmc.es/expedientes/c122621</w:t>
      </w:r>
    </w:p>
    <w:p>
      <w:r>
        <w:t>Pages translated : 2</w:t>
      </w:r>
    </w:p>
    <w:p/>
    <w:p>
      <w:r>
        <w:rPr>
          <w:b/>
        </w:rPr>
        <w:t>[Pages 1–2]</w:t>
      </w:r>
    </w:p>
    <w:p>
      <w:r>
        <w:t>RESOLUTION</w:t>
        <w:br/>
        <w:t>CASE FILE C/1226/21 EL CORTE INGLES / SANCHEZ ROMERO</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September 29, 2021</w:t>
        <w:br/>
        <w:t>The Competition Chamber has analyzed the merger case file processed in accordance with Law 15/2007, of July 3, on the Defense of Competition, consisting of the acquisition of exclusive control by EL CORTE INGLES (ECI) of 100% of the share capital of SUPERMERCADOS SANCHEZ ROMERO, S.L. (SR). In accordance with the report and proposal submitted by the Competition Directorate, the Competition Chamber has resolved, pursuant to article 57.2.a) of the aforementioned Law 15/2007, of July 3, to authorize the said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non-compete clause, regarding the holdings that do not imply control or substantial influence of a company considered a competitor of the business and the geographical scope thereof, to the extent that it exceeds the area of influence of 15 minutes by car from each establishment, goes beyond what is reasonably required by the notified merger operation, and is therefore subject to the general regulations applicable to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