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https://www.cnmc.es/expedientes/c122721</w:t>
      </w:r>
    </w:p>
    <w:p>
      <w:r>
        <w:t>Pages translated : 2</w:t>
      </w:r>
    </w:p>
    <w:p/>
    <w:p>
      <w:r>
        <w:rPr>
          <w:b/>
        </w:rPr>
        <w:t>[Pages 1–2]</w:t>
      </w:r>
    </w:p>
    <w:p>
      <w:r>
        <w:t>RESOLUTION</w:t>
        <w:br/>
        <w:t>FILE NO. C/1227/21 SKCP/CLARIANT PIGMENTS BUSINESS/HEUBACH GROUP</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September 21, 2021</w:t>
      </w:r>
    </w:p>
    <w:p>
      <w:r>
        <w:t>The Competition Chamber has analyzed the merger file processed in accordance with Law 15/2007, of July 3, on the Defense of Competition, consisting of the acquisition of control by SKCP through two funds managed by SKCI V, of COLORANTS SOLUTIONS USA LLC and COLORANTS INTERNATIONAL AG and their subsidiaries (collectively, CLARIANT PIGMENTS BUSINESS) and HEUBACH GROUP. In accordance with the report and the proposal submitted by the Directorate of Competition, the Competition Chamber has resolved, under Article 57.2.a) of the aforementioned Law 15/2007, of July 3, to authorize the aforementioned merger operation.</w:t>
      </w:r>
    </w:p>
    <w:p>
      <w:r>
        <w:t>Furthermore, it is appropriate to analyze the operation taking into account the Communication from the European Commission on restrictions directly linked to the execution of a merger and necessary for that purpose (2005/C 56/03) and the practice of national competition authorities. This Chamber considers that any limitation on financial investments that does not confer substantial influence, directly or indirectly, regardless of the percentage of investment established, goes beyond what is reasonable and will not be considered accessory or necessary for the operation, thus remaining subject to the regulations on agreements between companies. All of this 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