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https://www.cnmc.es/expedientes/c122821</w:t>
      </w:r>
    </w:p>
    <w:p>
      <w:r>
        <w:t>Pages translated : 2</w:t>
      </w:r>
    </w:p>
    <w:p/>
    <w:p>
      <w:r>
        <w:rPr>
          <w:b/>
        </w:rPr>
        <w:t>[Pages 1–2]</w:t>
      </w:r>
    </w:p>
    <w:p>
      <w:r>
        <w:t>RESOLUTION</w:t>
        <w:br/>
        <w:t>CASE FILE C/1228/21 COLORCON/IDEAL CURES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Barcelona, September 29, 2021</w:t>
        <w:br/>
        <w:t>The Competition Chamber has analyzed the concentration case file processed in accordance with Law 15/2007, of July 3, on the Defense of Competition, consisting of the acquisition of exclusive control by COLORCON, Inc (hereinafter, COLORCON or the Notifying Party), of IDEAL CURES PRIVATE LIMITED (hereinafter, IDEAL CURES). In accordance with the report and proposal submitted by the Competition Directorate, the Competition Chamber has resolved, in application of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regarding the content and duration of confidentiality and non-solicitation clauses, it is deemed that, although their content does not go beyond what is reasonable, their duration exceeding the two (2) years established in the aforementioned Communication for this type of operation will not be considered ancillary or necessary for the operation, thus remaining subject to the regulations on agreements between companies. All of this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