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https://www.cnmc.es/expedientes/c122921</w:t>
      </w:r>
    </w:p>
    <w:p>
      <w:r>
        <w:t>Pages translated : 1</w:t>
      </w:r>
    </w:p>
    <w:p/>
    <w:p>
      <w:r>
        <w:rPr>
          <w:b/>
        </w:rPr>
        <w:t>[Pages 1–1]</w:t>
      </w:r>
    </w:p>
    <w:p>
      <w:r>
        <w:t>RESOLUTION</w:t>
        <w:br/>
        <w:t>CASE FILE C/1229/21 COMERCIA / CAIXABANK ASSETS</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September 21, 2021</w:t>
        <w:br/>
        <w:t xml:space="preserve">The Competition Chamber has analyzed the merger file processed in accordance with Law 15/2007, of July 3, on the Defense of Competition, consisting of the transition from exclusive control of the point-of-sale terminal (POS) business of BANKIA, S.A. (currently owned by CAIXABANK, S.A.) to joint control through COMERCIA GLOBAL PAYMENTS, E.P., S.L. (hereinafter, COMERCIA), by a full-function joint venture controlled by CAIXABANK and GLOBAL PAYMENTS, Inc. In accordance with the report and proposal submitted by the Competition Directorate, the Competition Chamber has resolved, under the application of Article 57.2.a) of the aforementioned Law 15/2007, of July 3, to authorize the aforementioned merger operation. </w:t>
        <w:b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