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https://www.cnmc.es/expedientes/c123321</w:t>
      </w:r>
    </w:p>
    <w:p>
      <w:r>
        <w:t>Pages translated : 1</w:t>
      </w:r>
    </w:p>
    <w:p/>
    <w:p>
      <w:r>
        <w:rPr>
          <w:b/>
        </w:rPr>
        <w:t>[Pages 1–1]</w:t>
      </w:r>
    </w:p>
    <w:p>
      <w:r>
        <w:t>RESOLUTION</w:t>
        <w:br/>
        <w:t>CASE FILE C/1233/21 SEARCHLIGHT CAPITAL PARTNERS/FLOWBIRD</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Miguel Bordiu García-Ovies</w:t>
        <w:br/>
        <w:t>In Madrid, October 5, 2021</w:t>
        <w:br/>
        <w:t>The Competition Chamber has analyzed the merger case file processed in accordance with Law 15/2007, of July 3, on the Defense of Competition, consisting of the acquisition of exclusive control by Searchlight Capital Partners (hereinafter SCP) over Flowbird Holding SAS (hereinafter FLOWBIRD) and STREETINVEST and STREETSMART.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