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https://www.cnmc.es/expedientes/c123421</w:t>
      </w:r>
    </w:p>
    <w:p>
      <w:r>
        <w:t>Pages translated : 1</w:t>
      </w:r>
    </w:p>
    <w:p/>
    <w:p>
      <w:r>
        <w:rPr>
          <w:b/>
        </w:rPr>
        <w:t>[Pages 1–1]</w:t>
      </w:r>
    </w:p>
    <w:p>
      <w:r>
        <w:t>RESOLUTION</w:t>
        <w:br/>
        <w:t>CASE FILE C/1234/21 THALES / NAVIGATE</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Miguel Bordiu García-Ovies</w:t>
        <w:br/>
        <w:t>In Barcelona, October 19, 2021</w:t>
        <w:br/>
        <w:t>The Competition Chamber has analyzed the merger file processed in accordance with Law 15/2007, of July 3, on the Defense of Competition, consisting of the acquisition of exclusive control by THALES USA Inc, (THALES USA) a wholly-owned subsidiary of THALES S.A (THALES), of the air navigation aids business unit "Navigate" of the company Moog Inc (NAVIGATE) through the purchase of assets. According to the report and the proposal submitted by the Directorate of Competition, the Competition Chamber has resolved, in application of Article 57.2.a) of the aforementioned Law 15/2007, of July 3, to authorize the aforementioned merger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