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https://www.cnmc.es/expedientes/c123521</w:t>
      </w:r>
    </w:p>
    <w:p>
      <w:r>
        <w:t>Pages translated : 2</w:t>
      </w:r>
    </w:p>
    <w:p/>
    <w:p>
      <w:r>
        <w:rPr>
          <w:b/>
        </w:rPr>
        <w:t>[Pages 1–2]</w:t>
      </w:r>
    </w:p>
    <w:p>
      <w:r>
        <w:t>RESOLUTION</w:t>
        <w:br/>
        <w:t>CASE FILE C/1235/21 HELADOS ALACANT / HELADOS SOMOSIERRA</w:t>
        <w:br/>
        <w:t>COUNCIL. COMPETITION CHAMBER</w:t>
      </w:r>
    </w:p>
    <w:p>
      <w:r>
        <w:t>President</w:t>
        <w:br/>
        <w:t>Ms. Cani Fernández Vicién</w:t>
      </w:r>
    </w:p>
    <w:p>
      <w:r>
        <w:t>Councilors</w:t>
        <w:br/>
        <w:t>Ms. María Pilar Canedo Arrillaga</w:t>
        <w:br/>
        <w:t>Mr. Carlos Aguilar Paredes</w:t>
        <w:br/>
        <w:t>Mr. Josep Maria Salas Prat</w:t>
      </w:r>
    </w:p>
    <w:p>
      <w:r>
        <w:t>Secretary of the Council</w:t>
        <w:br/>
        <w:t>Mr. Miguel Bordiu García-Ovies</w:t>
      </w:r>
    </w:p>
    <w:p>
      <w:r>
        <w:t>In Madrid, October 13, 2021</w:t>
      </w:r>
    </w:p>
    <w:p>
      <w:r>
        <w:t>The Competition Chamber has analyzed the merger file processed in accordance with Law 15/2007, of July 3, on the Defense of Competition, consisting of the acquisition of exclusive control by HELADOS ALACANT over HELADOS SOMOSIERRA, which will come to hold 100% of the shares of Crestas La Galeta, S.A. In accordance with the report and proposal submitted by the Competition Directorate, the Competition Chamber has resolved, in application of article 57.2.a) of the aforementioned Law 15/2007, of July 3, to authorize the said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any limitation on the acquisition or holding of shares in a competing company for purely financial investment purposes, which does not confer directly or indirectly management functions or substantial influence in the same, will not be considered as ancillary and necessary restrictions for the operation, thus remaining subject to the regulations on agreements between companies, including the content of the non-compete clause.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