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https://www.cnmc.es/expedientes/c123621</w:t>
      </w:r>
    </w:p>
    <w:p>
      <w:r>
        <w:t>Pages translated : 2</w:t>
      </w:r>
    </w:p>
    <w:p/>
    <w:p>
      <w:r>
        <w:rPr>
          <w:b/>
        </w:rPr>
        <w:t>[Pages 1–2]</w:t>
      </w:r>
    </w:p>
    <w:p>
      <w:r>
        <w:t>RESOLUTION</w:t>
        <w:br/>
        <w:t>CASE FILE C/1236/21 CEMENTOS MOLINS / CALUCEM</w:t>
        <w:br/>
        <w:t>COUNCIL. COMPETITION CHAMBER</w:t>
        <w:br/>
        <w:t>President</w:t>
        <w:br/>
        <w:t>Ms. Cani Fernández Vicién</w:t>
        <w:br/>
        <w:t>Councilors</w:t>
        <w:br/>
        <w:t>Ms. María Ortiz Aguilar</w:t>
        <w:br/>
        <w:t>Ms. María Pilar Canedo Arrillaga</w:t>
        <w:br/>
        <w:t>Mr. Carlos Aguilar Paredes</w:t>
        <w:br/>
        <w:t>Mr. Josep Maria Salas Prat</w:t>
        <w:br/>
        <w:t>Secretary of the Council</w:t>
        <w:br/>
        <w:t>Mr. Miguel Bordiu García-Ovies</w:t>
        <w:br/>
        <w:t>In Barcelona, October 19, 2021</w:t>
        <w:br/>
        <w:t>The Competition Chamber has analyzed the merger case file processed in accordance with Law 15/2007, of July 3, on the Defense of Competition, consisting of the acquisition of exclusive control by CEMENTOS MOLINS, S.A. (hereinafter, "CEMENTOS MOLINS"), of the CALUCEM HOLDING d.o.o. Group (hereinafter, "CALUCEM"). In accordance with the report and proposal submitted by the Competition Directorate, the Competition Chamber has resolved, in application of Article 57.2.a) of the aforementioned Law 15/2007, of July 3, to authorize the aforementioned merger operation.</w:t>
        <w:br/>
        <w:t>Furthermore, it is necessary to analyze the operation taking into account the Communication from the European Commission on restrictions directly linked to the execution of a merger and necessary for that purpose (2005/C 56/03) and the practice of national competition authorities. This Chamber considers that the following will not be regarded as ancillary and necessary restrictions for the operation, and therefore will be subject to the regulations on agreements between companies:</w:t>
        <w:br/>
        <w:t>i. The content of the non-compete clause to the extent that it limits investment for purely financial investment purposes, remaining subject to the regulations on agreements between companies.</w:t>
        <w:br/>
        <w:t>ii. The duration of the confidentiality clause with the Managing Sellers (clause 9.1.5), (only to the extent that it relates to information of a commercial and strategic nature necessary for the development of the Target's activity), to the extent that it may exceed the duration of their contractual relationship with the acquirer, remaining subject to the regulations on agreements between companies.</w:t>
        <w:br/>
        <w:t>iii. The duration of the confidentiality clause with the Sellers (clause 11.1.4), (only to the extent that it relates to information of a commercial and strategic nature necessary for the development of the Target's activity), to the extent that it exceeds the two (2) years specified in the aforementioned Communication, remaining subject to the regulations on agreements between companies.</w:t>
        <w:br/>
        <w:t>All of this in accordance with what is indicated in the aforementioned report proposal from the Competition Directorate.</w:t>
        <w:br/>
        <w:t>This Resolution shall be communicated to the Competition Directorate of the National Commission on Markets and Competition and notified to the interested party, informing them that it concludes the administrative process and that a contentious-administrative appeal may be filed against it before the National Court, within two months from the day following its notification.</w:t>
        <w:br/>
        <w:t>Alcalá 47 · 28014 Madrid – Bolivia 56 · 08018 Barcelona · Tel.: 91 4329600 / 93 6036200 · www.cnmc.es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