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https://www.cnmc.es/expedientes/c123821</w:t>
      </w:r>
    </w:p>
    <w:p>
      <w:r>
        <w:t>Pages translated : 2</w:t>
      </w:r>
    </w:p>
    <w:p/>
    <w:p>
      <w:r>
        <w:rPr>
          <w:b/>
        </w:rPr>
        <w:t>[Pages 1–2]</w:t>
      </w:r>
    </w:p>
    <w:p>
      <w:r>
        <w:t xml:space="preserve">C/1238/21  </w:t>
        <w:br/>
        <w:t xml:space="preserve">BDR THERMEA GROUP (BAXI) / HITECSA  </w:t>
        <w:br/>
        <w:t xml:space="preserve">RESOLUTION  </w:t>
        <w:br/>
        <w:t xml:space="preserve">FILE BDR THERMEA GROUP (BAXI) / HITECSA  </w:t>
        <w:br/>
        <w:t xml:space="preserve">(C/1238/21)  </w:t>
        <w:br/>
        <w:t>COUNCIL. COMPETITION CHAMBER</w:t>
      </w:r>
    </w:p>
    <w:p>
      <w:r>
        <w:t xml:space="preserve">President  </w:t>
        <w:br/>
        <w:t>Ms. Cani Fernández Vicién</w:t>
      </w:r>
    </w:p>
    <w:p>
      <w:r>
        <w:t xml:space="preserve">Councilors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October 26, 2021</w:t>
      </w:r>
    </w:p>
    <w:p>
      <w:r>
        <w:t>The Competition Chamber has analyzed the concentration file processed in accordance with Law 15/2007, of July 3, on the Defense of Competition, consisting of the acquisition of exclusive control by BAXI CLIMATIZACION SLU, (hereinafter, BAXI), a wholly-owned subsidiary of the BDR THERMEA GROUP (hereinafter THERMEA), of Hiplus Aire Acondicionado SL (hereinafter, HITECSA or TARGET) through the purchase of 100% of the share capital.</w:t>
      </w:r>
    </w:p>
    <w:p>
      <w:r>
        <w:t>In accordance with the report and proposal submitted by the Competition Directorate, the Competition Chamber has resolved, under the application of Article 57.2.a) of the aforementioned Law 15/2007, of July 3, to authorize the said concentration operation.</w:t>
      </w:r>
    </w:p>
    <w:p>
      <w:r>
        <w:t>It is also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content of the non-compete clause exceeds what is necessary for the execution of the operation, not being considered ancillary to it, remaining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