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https://www.cnmc.es/expedientes/c123921</w:t>
      </w:r>
    </w:p>
    <w:p>
      <w:r>
        <w:t>Pages translated : 2</w:t>
      </w:r>
    </w:p>
    <w:p/>
    <w:p>
      <w:r>
        <w:rPr>
          <w:b/>
        </w:rPr>
        <w:t>[Pages 1–2]</w:t>
      </w:r>
    </w:p>
    <w:p>
      <w:r>
        <w:t>RESOLUTION</w:t>
        <w:br/>
        <w:t>CASE FILE C/1239/21 MCH/B2B BUSINESS URIACH</w:t>
        <w:br/>
        <w:t>COUNCIL. COMPETITION CHAMBER</w:t>
        <w:br/>
        <w:t>President</w:t>
        <w:br/>
        <w:t>Ms. Cani Fernández Vicién</w:t>
        <w:br/>
        <w:t>Council Members</w:t>
        <w:br/>
        <w:t>Ms. María Ortiz Aguilar</w:t>
        <w:br/>
        <w:t>Ms. María Pilar Canedo Arrillaga</w:t>
        <w:br/>
        <w:t>Mr. Carlos Aguilar Paredes</w:t>
        <w:br/>
        <w:t>Mr. Josep Maria Salas Prat</w:t>
        <w:br/>
        <w:t>Secretary of the Council</w:t>
        <w:br/>
        <w:t>Mr. Miguel Bordiu García-Ovies</w:t>
        <w:br/>
        <w:t>In Barcelona, October 19, 2021</w:t>
        <w:br/>
        <w:t>The Competition Chamber has analyzed the merger case file processed in accordance with Law 15/2007, of July 3, on the Defense of Competition, consisting of the acquisition by venture capital entities managed by MCH Private Equity Investments, S.G.E.I.C., S.A. of exclusive control over the B2B business of the Uriach group. In accordance with the report and proposal submitted by the Competition Directorate, the Competition Chamber has resolved, applying Article 57.2.a) of the aforementioned Law 15/2007, of July 3, to authorize the aforementioned merger operation.</w:t>
        <w:br/>
        <w:t>Likewise, it is appropriate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following will not be regarded as ancillary and necessary restrictions for the operation, and therefore will be subject to the regulations on agreements between companies:</w:t>
        <w:br/>
        <w:t>i) The content of the non-compete clause, to the extent that it limits the acquisition or holding of shares in a competing company for exclusively financial investment purposes, which do not confer directly or indirectly management functions or substantial influence in it, regardless of the percentage of participation in it;</w:t>
        <w:br/>
        <w:t>ii) The content of the supply obligation, to the extent that it refers to the supply of unlimited quantities that confer exclusivity, or the condition of preferred supplier/buyer;</w:t>
        <w:br/>
        <w:t>iii) The duration of the supply obligation and the transitional service provision agreement, to the extent that they exceed the five (5) years set forth in the Communication;</w:t>
        <w:br/>
        <w:t>iv) The obligations imposed on Additional Investors included in the non-compete, non-solicitation, and confidentiality clauses set forth in the Partners Agreement, pursuant to the provisions of paragraph 40 of the aforementioned Communication.</w:t>
        <w:br/>
        <w:t>All of this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