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https://www.cnmc.es/expedientes/c124021</w:t>
      </w:r>
    </w:p>
    <w:p>
      <w:r>
        <w:t>Pages translated : 2</w:t>
      </w:r>
    </w:p>
    <w:p/>
    <w:p>
      <w:r>
        <w:rPr>
          <w:b/>
        </w:rPr>
        <w:t>[Pages 1–2]</w:t>
      </w:r>
    </w:p>
    <w:p>
      <w:r>
        <w:t>C/1240/21 VECI / LOGITRAVEL RESOLUTION FILE VECI / LOGITRAVEL (C/1240/21) COUNCIL. COMPETITION CHAMBER President Ms. Cani Fernández Vicién Councilors Ms. María Ortiz Aguilar Ms. María Pilar Canedo Arrillaga Mr. Carlos Aguilar Paredes Mr. Josep Maria Salas Prat Secretary of the Council Mr. Miguel Bordiu García-Ovies In Madrid, October 26, 2021 The Competition Chamber has analyzed the merger file processed in accordance with Law 15/2007, of July 3, on the Defense of Competition, consisting of the integration of the travel agency businesses of VIAJES EL CORTE INGLÉS S.A. (“VECI”) and LOGITRAVEL. In accordance with the report and proposal submitted by the Competition Directorate, the Competition Chamber has resolved, pursuant to article 57.2.a) of the aforementioned Law 15/2007, of July 3, to authorize the aforementioned merger operation. 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the non-compete and non-solicitation clauses, to the extent that it exceeds the duration of the participating company, goes beyond what is reasonably required by the notified merger operation, and is therefore subject to the general regulations applicable to agreements between companies. All of this in accordance with what is indicated in the aforementioned report proposal from the Competition Directorate. National Commission of Markets and Competition 1 of 2 C/ Alcalá, 47 – 28014 Madrid - C/ Bolivia, 56 – 08018 Barcelona www.cnmc.es C/1240/21 VECI / LOGITRAVEL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