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https://www.cnmc.es/expedientes/c124121</w:t>
      </w:r>
    </w:p>
    <w:p>
      <w:r>
        <w:t>Pages translated : 2</w:t>
      </w:r>
    </w:p>
    <w:p/>
    <w:p>
      <w:r>
        <w:rPr>
          <w:b/>
        </w:rPr>
        <w:t>[Pages 1–2]</w:t>
      </w:r>
    </w:p>
    <w:p>
      <w:r>
        <w:t xml:space="preserve">C/1241/21  </w:t>
        <w:br/>
        <w:t xml:space="preserve">GLG /ELD /NOVOGEN /VERBEEK  </w:t>
        <w:br/>
        <w:t xml:space="preserve">RESOLUTION  </w:t>
        <w:br/>
        <w:t xml:space="preserve">GLG /ELD /NOVOGEN /VERBEEK  </w:t>
        <w:br/>
        <w:t xml:space="preserve">(C/1241/21)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December 14, 2021</w:t>
      </w:r>
    </w:p>
    <w:p>
      <w:r>
        <w:t>The Competition Chamber has analyzed the concentration file processed in accordance with Law 15/2007, of July 3, on the Defense of Competition, consisting of the acquisition of exclusive control by GLOBAL LAYER GENETICS GmbH (hereinafter, GLG) and EUROPEAN LAYER DISTRIBUTION GmbH (hereinafter, ELD), both 100% subsidiaries of EW GROUP GmbH (hereinafter, EW), of NOVOGEN SAS and NOVOGEN DO BRASIL AVICULTURA LTDA (hereinafter, NOVOGEN), and of VERBEEK’S PLUIMVEE BEHEER BV (hereinafter, VERBEEK). In accordance with the report and proposal submitted by the Competition Directorate, the Competition Chamber has resolved, under Article 57.2.a) of the aforementioned Law 15/2007, of July 3, to authorize the aforementioned concentration operation.</w:t>
      </w:r>
    </w:p>
    <w:p>
      <w:r>
        <w:t>Furthermore,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duration of the Non-Solicitation Clauses (Clauses 11.2.1 letters a and b of both Purchase Agreements) and Non-Competition Clauses (Clauses 11.2.2 of both Purchase Agreements), in all that exceeds two (2) years, goes beyond what is reasonable, therefore they are not considered ancillary or necessary for the operation, and are thus subject to the regulations on agreements between companies. All of this is in accordance with what is indicated in the aforementioned report proposal from the Competition Directorate.</w:t>
      </w:r>
    </w:p>
    <w:p>
      <w:r>
        <w:t xml:space="preserve">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