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https://www.cnmc.es/expedientes/c124221</w:t>
      </w:r>
    </w:p>
    <w:p>
      <w:r>
        <w:t>Pages translated : 2</w:t>
      </w:r>
    </w:p>
    <w:p/>
    <w:p>
      <w:r>
        <w:rPr>
          <w:b/>
        </w:rPr>
        <w:t>[Pages 1–2]</w:t>
      </w:r>
    </w:p>
    <w:p>
      <w:r>
        <w:t xml:space="preserve">C/1242/21  </w:t>
        <w:br/>
        <w:t xml:space="preserve">ALLIANZ / GT MOTIVE  </w:t>
        <w:br/>
        <w:t xml:space="preserve">RESOLUTION  </w:t>
        <w:br/>
        <w:t xml:space="preserve">FILE ALLIANZ / GT MOTIVE  </w:t>
        <w:br/>
        <w:t xml:space="preserve">(C/1242/21)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October 26, 2021</w:t>
      </w:r>
    </w:p>
    <w:p>
      <w:r>
        <w:t>The Competition Chamber has analyzed the merger file processed in accordance with Law 15/2007, of July 3, on the Defense of Competition, consisting of the acquisition by Allianz Strategic Investments S.à.r.l. (ASI), a wholly-owned subsidiary of Allianz SE (together with its subsidiaries, ALLIANZ), of GT Motive S.L. Group (GT MOTIVE). In accordance with the report and proposal submitted by the Competition Directorate, the Competition Chamber has resolved, applying Article 57.2.a) of the aforementioned Law 15/2007, of July 3, to authorize the aforementioned merger operation.</w:t>
      </w:r>
    </w:p>
    <w:p>
      <w: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duration of the non-compete and non-solicitation agreements included in the partnership agreement, to the extent that they exceed three years, and the confidentiality agreements contained in the purchase agreement and the partnership agreement, to the extent that they exceed three years and insofar as they impose restrictions on the buyer, go beyond what is reasonably required by the merger operation notified, and are therefore subject to the general regulations applicable to agreements between companies. All of 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