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https://www.cnmc.es/expedientes/c124321</w:t>
      </w:r>
    </w:p>
    <w:p>
      <w:r>
        <w:t>Pages translated : 2</w:t>
      </w:r>
    </w:p>
    <w:p/>
    <w:p>
      <w:r>
        <w:rPr>
          <w:b/>
        </w:rPr>
        <w:t>[Pages 1–2]</w:t>
      </w:r>
    </w:p>
    <w:p>
      <w:r>
        <w:t xml:space="preserve">C/1243/21  </w:t>
        <w:br/>
        <w:t xml:space="preserve">ANGAL / ACTIVOS MERCEDES  </w:t>
        <w:br/>
        <w:t xml:space="preserve">RESOLUTION  </w:t>
        <w:br/>
        <w:t xml:space="preserve">FILE ANGAL / ACTIVOS MERCEDES  </w:t>
        <w:br/>
        <w:t xml:space="preserve">(C/1243/21)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November 23, 2021</w:t>
      </w:r>
    </w:p>
    <w:p>
      <w:r>
        <w:t>The Competition Chamber has analyzed the concentration file processed in accordance with Law 15/2007, of July 3, on the Defense of Competition, consisting of the acquisition by Valencia Distribuidora Angal Automocion S.L. (VALDISA), a company in turn 100% controlled by Angal Automoción S.L. (ANGAL), of a series of vehicle dealerships and workshops located in the Autonomous Community of Valencia, belonging to Mercedes-Benz Retail S.A.U. (MERCEDES). According to the report and proposal submitted by the Directorate of Competition, the Competition Chamber has resolved, in application of Article 57.2.a) of the aforementioned Law 15/2007, of July 3, to authorize the said concentration operation.</w:t>
      </w:r>
    </w:p>
    <w:p>
      <w: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confidentiality agreement goes beyond what is required for the operation, thus remaining subject to the general regulations applicable to agreements between companies the restrictions imposed on the buyer and regarding the restrictions on the seller that exceed two years. As for the supply and licensing agreements, as they are pending negotiation and signing, this Directorate of Competition currently does not have sufficient information to assess their accessory nature, remaining subject to the regulations on agreements between companies in all that exceeds, both in content and duration, what is established in the Communication.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