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https://www.cnmc.es/expedientes/c124421</w:t>
      </w:r>
    </w:p>
    <w:p>
      <w:r>
        <w:t>Pages translated : 1</w:t>
      </w:r>
    </w:p>
    <w:p/>
    <w:p>
      <w:r>
        <w:rPr>
          <w:b/>
        </w:rPr>
        <w:t>[Pages 1–1]</w:t>
      </w:r>
    </w:p>
    <w:p>
      <w:r>
        <w:t xml:space="preserve">C/1244/21  </w:t>
        <w:br/>
        <w:t xml:space="preserve">PORTOBELLO CAPITAL GESTION / ACTIVOS CONDIS SUPERMERCATS  </w:t>
        <w:br/>
        <w:t xml:space="preserve">RESOLUTION  </w:t>
        <w:br/>
        <w:t xml:space="preserve">FILE PORTOBELLO CAPITAL GESTION / ACTIVOS CONDIS SUPERMERCATS  </w:t>
        <w:br/>
        <w:t xml:space="preserve">(C/1244/21)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Barcelona, November 16, 2021</w:t>
      </w:r>
    </w:p>
    <w:p>
      <w:r>
        <w:t>The Competition Chamber has analyzed the concentration file processed in accordance with Law 15/2007, of July 3, on the Defense of Competition, consisting of the indirect acquisition by PORTOBELLO CAPITAL GESTIÓN, SGEIC, S.A. (hereinafter, PORTOBELLO) of exclusive control over the business of CONDIS SUPERMERCATS, S.A. in Catalonia and Aragon (hereinafter, CONDIS).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