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https://www.cnmc.es/expedientes/c124521</w:t>
      </w:r>
    </w:p>
    <w:p>
      <w:r>
        <w:t>Pages translated : 2</w:t>
      </w:r>
    </w:p>
    <w:p/>
    <w:p>
      <w:r>
        <w:rPr>
          <w:b/>
        </w:rPr>
        <w:t>[Pages 1–2]</w:t>
      </w:r>
    </w:p>
    <w:p>
      <w:r>
        <w:t xml:space="preserve">C/1245/21  </w:t>
        <w:br/>
        <w:t xml:space="preserve">ONTIME / ACOTRAL  </w:t>
        <w:br/>
        <w:t xml:space="preserve">RESOLUTION  </w:t>
        <w:br/>
        <w:t xml:space="preserve">FILE ONTIME / ACOTRAL  </w:t>
        <w:br/>
        <w:t xml:space="preserve">(C/1245/21)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November 23, 2021</w:t>
      </w:r>
    </w:p>
    <w:p>
      <w:r>
        <w:t>The Competition Chamber has analyzed the concentration file processed in accordance with Law 15/2007, of July 3, on the Defense of Competition, consisting of the acquisition of exclusive control of COMPAÑÍA LOGÍSTICA ACOTRAL, S.A.U. (ACOTRAL) - including its wholly-owned subsidiary ACOTRAL DISTRIBUCIÓN CANARIAS, S.A.U. (ACOTRAL CANARIAS) -, TRANSPORTES YAGÜE 1955, S.L. (YAGÜE) and TUM CAPILAR, S.L. (TUM), all of which belong to GRUPO ACOTRAL, by ONTIME CORPORATE UNION, S.L. (ONTIME). According to the report and proposal submitted by the Directorate of Competition, the Competition Chamber has resolved, in application of Article 57.2.a) of the aforementioned Law 15/2007, of July 3, to authorize the aforementioned concentration operation.</w:t>
      </w:r>
    </w:p>
    <w:p>
      <w:r>
        <w:t>It is also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non-competition clause (regarding the limitation imposed on the seller of being the holder of non-controlling stakes in competing companies and the limitation on the possibility of requesting, using, or registering similar industrial or intellectual property rights) and the non-competition, non-solicitation, and confidentiality clauses (in all that exceeds 2 years) exceed what is necessary for the execution of the operation and cannot be considered ancillary, thus remaining subject to the general regulations applicable to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