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Spanish</w:t>
      </w:r>
    </w:p>
    <w:p>
      <w:r>
        <w:t>Source URL       : https://www.cnmc.es/expedientes/c124621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C/1246/21  </w:t>
        <w:br/>
        <w:t xml:space="preserve">VAUBAN/RCS-RCA-RGG-MDH  </w:t>
        <w:br/>
        <w:t xml:space="preserve">RESOLUTION  </w:t>
        <w:br/>
        <w:t xml:space="preserve">FILE VAUBAN/RCS-RCA-RGG-MDH  </w:t>
        <w:br/>
        <w:t xml:space="preserve">(C/1246/21)  </w:t>
        <w:br/>
        <w:t xml:space="preserve">COUNCIL. COMPETITION CHAMBER  </w:t>
        <w:br/>
        <w:t xml:space="preserve">President  </w:t>
        <w:br/>
        <w:t xml:space="preserve">Ms. Cani Fernández Vicién  </w:t>
        <w:br/>
        <w:t xml:space="preserve">Counselors  </w:t>
        <w:br/>
        <w:t xml:space="preserve">Ms. María Pilar Canedo Arrillaga  </w:t>
        <w:br/>
        <w:t xml:space="preserve">Mr. Carlos Aguilar Paredes  </w:t>
        <w:br/>
        <w:t xml:space="preserve">Mr. Josep Maria Salas Prat  </w:t>
        <w:br/>
        <w:t xml:space="preserve">Secretary of the Council  </w:t>
        <w:br/>
        <w:t xml:space="preserve">Mr. Miguel Bordiu García-Ovies  </w:t>
        <w:br/>
        <w:t xml:space="preserve">In Barcelona, November 16, 2021  </w:t>
        <w:br/>
        <w:t xml:space="preserve">The Competition Chamber has analyzed the concentration file processed  </w:t>
        <w:br/>
        <w:t xml:space="preserve">in accordance with Law 15/2007, of July 3, on the Defense of Competition,  </w:t>
        <w:br/>
        <w:t xml:space="preserve">consisting of the acquisition by entities in the acquisition by  </w:t>
        <w:br/>
        <w:t xml:space="preserve">Vauban, through the vehicle Core Infrastructure Fund III SCS, of exclusive control  </w:t>
        <w:br/>
        <w:t xml:space="preserve">of the acquired business: Móstoles District Heating, S.L. (hereinafter,  </w:t>
        <w:br/>
        <w:t xml:space="preserve">MDH); Red de Calor de Guadalajara, S.L. (hereinafter, RCG); Red de Calor de  </w:t>
        <w:br/>
        <w:t xml:space="preserve">Aranda de Duero, S.L. (hereinafter, RCA); and Red de Calor de Soria, S.L. (hereinafter, RCS). In accordance with the report and proposal submitted by the  </w:t>
        <w:br/>
        <w:t xml:space="preserve">Directorate of Competition, the Competition Chamber has resolved, applying  </w:t>
        <w:br/>
        <w:t xml:space="preserve">Article 57.2.a) of the aforementioned Law 15/2007, of July 3, to authorize the  </w:t>
        <w:br/>
        <w:t xml:space="preserve">aforementioned concentration operation.  </w:t>
        <w:br/>
        <w:t xml:space="preserve">Likewise, it is appropriate to analyze the operation taking into account the  </w:t>
        <w:br/>
        <w:t xml:space="preserve">Communication from the European Commission on restrictions directly linked to the  </w:t>
        <w:br/>
        <w:t xml:space="preserve">execution of a concentration and necessary for that purpose (2005/C 56/03) and the  </w:t>
        <w:br/>
        <w:t xml:space="preserve">practice of national competition authorities. This Chamber considers that  </w:t>
        <w:br/>
        <w:t xml:space="preserve">the National Commission of Markets and Competition 1 of 2  </w:t>
        <w:br/>
        <w:t xml:space="preserve">C/ Alcalá, 47 – 28014 Madrid - C/ Bolivia, 56 – 08018 Barcelona  </w:t>
        <w:br/>
        <w:t>www.cnmc.es</w:t>
      </w:r>
    </w:p>
    <w:p>
      <w:r>
        <w:t xml:space="preserve">C/1246/21  </w:t>
        <w:br/>
        <w:t xml:space="preserve">VAUBAN/RCS-RCA-RGG-MDH  </w:t>
        <w:br/>
        <w:t xml:space="preserve">will not be considered an ancillary and necessary restriction for the operation,  </w:t>
        <w:br/>
        <w:t xml:space="preserve">therefore remaining subject to the regulations on agreements between companies,  </w:t>
        <w:br/>
        <w:t xml:space="preserve">the duration of the transitional service provision agreements, to the extent that  </w:t>
        <w:br/>
        <w:t xml:space="preserve">they exceed the (5) five years set forth in the Communication. All of this in  </w:t>
        <w:br/>
        <w:t xml:space="preserve">accordance with what is indicated in the aforementioned report proposal from the  </w:t>
        <w:br/>
        <w:t xml:space="preserve">Directorate of Competition.  </w:t>
        <w:br/>
        <w:t xml:space="preserve">This Resolution shall be communicated to the Directorate of Competition of the  </w:t>
        <w:br/>
        <w:t xml:space="preserve">National Commission of Markets and Competition and notified to the interested party,  </w:t>
        <w:br/>
        <w:t xml:space="preserve">informing them that it concludes the administrative process and that a  </w:t>
        <w:br/>
        <w:t xml:space="preserve">contentious-administrative appeal may be filed against it before the National  </w:t>
        <w:br/>
        <w:t xml:space="preserve">Court, within two months from the day following its notification.  </w:t>
        <w:br/>
        <w:t xml:space="preserve">National Commission of Markets and Competition 2 of 2  </w:t>
        <w:br/>
        <w:t xml:space="preserve">C/ Alcalá, 47 – 28014 Madrid - C/ Bolivia, 56 – 08018 Barcelona  </w:t>
        <w:br/>
        <w:t>www.cnmc.es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