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https://www.cnmc.es/expedientes/c124721</w:t>
      </w:r>
    </w:p>
    <w:p>
      <w:r>
        <w:t>Pages translated : 2</w:t>
      </w:r>
    </w:p>
    <w:p/>
    <w:p>
      <w:r>
        <w:rPr>
          <w:b/>
        </w:rPr>
        <w:t>[Pages 1–2]</w:t>
      </w:r>
    </w:p>
    <w:p>
      <w:r>
        <w:t xml:space="preserve">C/1247/21  </w:t>
        <w:br/>
        <w:t xml:space="preserve">FREMMAN - PALEX  </w:t>
        <w:br/>
        <w:t xml:space="preserve">RESOLUTION  </w:t>
        <w:br/>
        <w:t xml:space="preserve">FILE FREMMAN - PALEX  </w:t>
        <w:br/>
        <w:t xml:space="preserve">(C/1247/21)  </w:t>
        <w:br/>
        <w:t>COUNCIL. COMPETITION CHAMBER</w:t>
      </w:r>
    </w:p>
    <w:p>
      <w:r>
        <w:t xml:space="preserve">President  </w:t>
        <w:br/>
        <w:t>Ms. Cani Fernández Vicién</w:t>
      </w:r>
    </w:p>
    <w:p>
      <w:r>
        <w:t xml:space="preserve">Counselors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November 30, 2021</w:t>
      </w:r>
    </w:p>
    <w:p>
      <w:r>
        <w:t>The Competition Chamber has analyzed the merger file processed in accordance with Law 15/2007, of July 3, on the Defense of Competition, consisting of the acquisition by BARBEL CORPORATE SERVICES S.L.U. (BARBEL), an indirectly controlled subsidiary of FREMMAN (FREMMAN), of TOPCO PALEX S.L (PALEX). In accordance with the report and proposal submitted by the Competition Directorate, the Competition Chamber has resolved, applying Article 57.2.a) of the aforementioned Law 15/2007, of July 3, to authorize the aforementioned merger operation.</w:t>
      </w:r>
    </w:p>
    <w:p>
      <w:r>
        <w:t xml:space="preserve">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following will not be regarded as ancillary and necessary restrictions for the operation, and therefore will be subject to the regulations on agreements between companies:  </w:t>
        <w:br/>
        <w:t xml:space="preserve">National Commission of Markets and Competition 1 of 2  </w:t>
        <w:br/>
        <w:t xml:space="preserve">C/ Alcalá, 47 – 28014 Madrid - C/ Bolivia, 56 – 08018 Barcelona  </w:t>
        <w:br/>
        <w:t>www.cnmc.es</w:t>
      </w:r>
    </w:p>
    <w:p>
      <w:r>
        <w:t xml:space="preserve">C/1247/21  </w:t>
        <w:br/>
        <w:t xml:space="preserve">FREMMAN - PALEX  </w:t>
        <w:br/>
        <w:t xml:space="preserve">i. The duration of non-compete clauses, to the extent that it exceeds the duration of the contractual relationship and/or the duration of the status of partner with the PALEX Group;  </w:t>
        <w:br/>
        <w:t xml:space="preserve">ii. The content of clause 16.4 of non-competition regarding Ergon and Corfin, to the extent that it limits investment for purely financial investment purposes that does not confer direct or indirect management functions or substantial influence in the competing company;  </w:t>
        <w:br/>
        <w:t>iii. The duration of the confidentiality clause with individual investors (clause 10), to the extent that it may exceed the duration of their contractual relationship with the PALEX Group.</w:t>
      </w:r>
    </w:p>
    <w:p>
      <w:r>
        <w:t>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President Secretary of the Council  </w:t>
        <w:br/>
        <w:t xml:space="preserve">Ms. Cani Fernández Vicién Mr. Miguel Bordiu García-Ovies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