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https://www.cnmc.es/expedientes/c124821</w:t>
      </w:r>
    </w:p>
    <w:p>
      <w:r>
        <w:t>Pages translated : 2</w:t>
      </w:r>
    </w:p>
    <w:p/>
    <w:p>
      <w:r>
        <w:rPr>
          <w:b/>
        </w:rPr>
        <w:t>[Pages 1–2]</w:t>
      </w:r>
    </w:p>
    <w:p>
      <w:r>
        <w:t xml:space="preserve">C/1248/21  </w:t>
        <w:br/>
        <w:t xml:space="preserve">SERCOMISA / MEDITERRÁNEA PITIUSA  </w:t>
        <w:br/>
        <w:t xml:space="preserve">RESOLUTION  </w:t>
        <w:br/>
        <w:t xml:space="preserve">SERCOMISA / MEDITERRÁNEA PITIUSA  </w:t>
        <w:br/>
        <w:t xml:space="preserve">(C/1248/21)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April 11, 2022</w:t>
      </w:r>
    </w:p>
    <w:p>
      <w:r>
        <w:t>The Competition Chamber has analyzed the concentration file processed in accordance with Law 15/2007, of July 3, on the Defense of Competition, consisting of the exclusive control acquisition by SERVICIOS Y CONCESIONES MARÍTIMAS IBICENCAS, S.A. (SERCOMISA) of MEDITERRÁNEA LA NAVIERA DE FORMENTERA, S.L. (hereinafter MEDITERRÁNEA PITIUSA), through the acquisition of 55% of the shares representing the capital of said company, currently held by VARADERO VALENCIA, S.L. In accordance with the report and proposal submitted by the Competition Directorate, the Competition Chamber has resolved, under the application of Article 57.2.a) of the aforementioned Law 15/2007, of July 3, to authorize the aforementioned concentration operation.</w:t>
      </w:r>
    </w:p>
    <w:p>
      <w:r>
        <w:t xml:space="preserve">INTERNAL  </w:t>
        <w:br/>
        <w:t xml:space="preserve">National Commission of Markets and Competition 1 of 2  </w:t>
        <w:br/>
        <w:t xml:space="preserve">C/ Alcalá, 47 – 28014 Madrid - C/ Bolivia, 56 – 08018 Barcelona  </w:t>
        <w:br/>
        <w:t>www.cnmc.es</w:t>
      </w:r>
    </w:p>
    <w:p>
      <w:r>
        <w:t xml:space="preserve">C/1248/21  </w:t>
        <w:br/>
        <w:t xml:space="preserve">SERCOMISA / MEDITERRÁNEA PITIUSA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INTERNAL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