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https://www.cnmc.es/expedientes/c124921</w:t>
      </w:r>
    </w:p>
    <w:p>
      <w:r>
        <w:t>Pages translated : 1</w:t>
      </w:r>
    </w:p>
    <w:p/>
    <w:p>
      <w:r>
        <w:rPr>
          <w:b/>
        </w:rPr>
        <w:t>[Pages 1–1]</w:t>
      </w:r>
    </w:p>
    <w:p>
      <w:r>
        <w:t xml:space="preserve">C/1249/21  </w:t>
        <w:br/>
        <w:t xml:space="preserve">PROMSA/ACTIVOS HANSON  </w:t>
        <w:br/>
        <w:t xml:space="preserve">RESOLUTION  </w:t>
        <w:br/>
        <w:t xml:space="preserve">PROMSA / ACTIVOS HANSON  </w:t>
        <w:br/>
        <w:t xml:space="preserve">(C/1249/21)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February 2, 2022</w:t>
      </w:r>
    </w:p>
    <w:p>
      <w:r>
        <w:t>The Competition Chamber has analyzed the concentration file processed in accordance with Law 15/2007, of July 3, on the Defense of Competition, consisting of the acquisition by GRUPO CEMENTOS MOLINS, S.A., through its subsidiary Promotora Mediterránea-2, S.A. (hereinafter, “PROMSA”), of exclusive control over a portfolio of assets (hereinafter collectively “Acquired Assets” or “ACTIVOS HANSON”) owned by J RIERA, S.A., HANSON HISPANIA HORMIGONES, S.L. and HANSON HISPANIA, S.A.U. (hereinafter, collectively “the Sellers”). In accordance with the report and proposal submitted by the Directorate of Competition, the Competition Chamber has resolved, under the application of Article 57.2.a) of the aforementioned Law 15/2007, of July 3, to authorize the aforementioned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