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https://www.cnmc.es/expedientes/c125121</w:t>
      </w:r>
    </w:p>
    <w:p>
      <w:r>
        <w:t>Pages translated : 1</w:t>
      </w:r>
    </w:p>
    <w:p/>
    <w:p>
      <w:r>
        <w:rPr>
          <w:b/>
        </w:rPr>
        <w:t>[Pages 1–1]</w:t>
      </w:r>
    </w:p>
    <w:p>
      <w:r>
        <w:t xml:space="preserve">C/1251/21  </w:t>
        <w:br/>
        <w:t xml:space="preserve">ARDIAN / ADAMO TELECOM  </w:t>
        <w:br/>
        <w:t xml:space="preserve">RESOLUTION  </w:t>
        <w:br/>
        <w:t xml:space="preserve">ARDIAN / ADAMO TELECOM  </w:t>
        <w:br/>
        <w:t xml:space="preserve">(C/1251/21)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December 14, 2021</w:t>
      </w:r>
    </w:p>
    <w:p>
      <w:r>
        <w:t>The Competition Chamber has analyzed the merger file processed in accordance with Law 15/2007, of July 3, on the Defense of Competition, consisting of the acquisition of exclusive control of Adamo Telecom, S.L.U. (ADAMO) by Ardian France, S.A. (ARDIAN), through the indirect purchase of 100% of its share capital. In accordance with the report and proposal submitted by the Competition Directorate, the Competition Chamber has resolved, applying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