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https://www.cnmc.es/expedientes/c125221</w:t>
      </w:r>
    </w:p>
    <w:p>
      <w:r>
        <w:t>Pages translated : 2</w:t>
      </w:r>
    </w:p>
    <w:p/>
    <w:p>
      <w:r>
        <w:rPr>
          <w:b/>
        </w:rPr>
        <w:t>[Pages 1–2]</w:t>
      </w:r>
    </w:p>
    <w:p>
      <w:r>
        <w:t xml:space="preserve">C/1252/21  </w:t>
        <w:br/>
        <w:t xml:space="preserve">ORPEA GROUP / HESTIA GROUP  </w:t>
        <w:br/>
        <w:t xml:space="preserve">RESOLUTION  </w:t>
        <w:br/>
        <w:t xml:space="preserve">ORPEA GROUP / HESTIA GROUP  </w:t>
        <w:br/>
        <w:t xml:space="preserve">(C/1252/21)  </w:t>
        <w:br/>
        <w:t>COUNCIL. COMPETITION CHAMBER</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December 21, 2021</w:t>
      </w:r>
    </w:p>
    <w:p>
      <w:r>
        <w:t>The Competition Chamber has analyzed the merger file processed in accordance with Law 15/2007, of July 3, on the Defense of Competition, consisting of the acquisition of exclusive control by ORPEA IBÉRICA, S.A.U (ORPEA IBÉRICA) and ATIRUAL INMOBILIARIA, S.L.U (ATIRUAL) (belonging to the Orpea Group, controlled by the French company ORPEA, S.A.) of HESTIA ALLIANCE, S.L. and DRURY, S.L. (“Hestia Group”) controlled by Bimpedi, S.L. In accordance with the report and proposal submitted by the Competition Directorate, the Competition Chamber has resolved, under Article 57.2.a) of the aforementioned Law 15/2007, of July 3, to authorize the aforementioned merger operation.</w:t>
      </w:r>
    </w:p>
    <w:p>
      <w:r>
        <w:t>It is also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material scope of the non-compete clause (regarding additional lines of business that the acquired entity was not developing and the limitation on participation in competing companies that do not confer control), as well as its geographical scope and that of the non-solicitation clause (beyond the provinces where the acquired entity is present); the extension to the buyer of the confidentiality obligation and its temporal scope (everything that exceeds two years) and, in relation to the service provision contract, its material scope (its exclusivity condition, as well as its scope in all those services that, until the closing date, were not performed by the acquired entity, in relation to a person not linked to the acquired entity) and, in the temporal scope (everything that exceeds five years); in relation to the additional non-compete, non-hiring, and confidentiality clauses included therein (everything that exceeds two years), are not considered ancillary restrictions and are therefore subject to the general regulations applicable to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