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https://www.cnmc.es/expedientes/c125321</w:t>
      </w:r>
    </w:p>
    <w:p>
      <w:r>
        <w:t>Pages translated : 1</w:t>
      </w:r>
    </w:p>
    <w:p/>
    <w:p>
      <w:r>
        <w:rPr>
          <w:b/>
        </w:rPr>
        <w:t>[Pages 1–1]</w:t>
      </w:r>
    </w:p>
    <w:p>
      <w:r>
        <w:t>C/1253/21 FLUIDRA-FOUNDER FAMILIES RESOLUTION FLUIDRA-FOUNDER FAMILIES (C/1253/21) COUNCIL. COMPETITION CHAMBER President Ms. Cani Fernández Vicién Councilors Ms. María Ortiz Aguilar Ms. María Pilar Canedo Arrillaga Mr. Carlos Aguilar Paredes Mr. Josep Maria Salas Prat Secretary of the Council Mr. Miguel Bordiu García-Ovies In Madrid, December 14, 2021 The Competition Chamber has analyzed the merger file processed in accordance with Law 15/2007, of July 3, on the Defense of Competition, consisting of the change in the nature of control of FLUIDRA, S.A. by the founding families, who will move from holding joint control along with Rhône Capital L.L.C, to holding exclusive control of the same. In accordance with the report and the proposal submitted by the Directorate of Competition, the Competition Chamber has resolved, in application of Article 57.2.a) of the aforementioned Law 15/2007, of July 3, to authorize the aforementioned merger operation.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