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https://www.cnmc.es/expedientes/c125421</w:t>
      </w:r>
    </w:p>
    <w:p>
      <w:r>
        <w:t>Pages translated : 2</w:t>
      </w:r>
    </w:p>
    <w:p/>
    <w:p>
      <w:r>
        <w:rPr>
          <w:b/>
        </w:rPr>
        <w:t>[Pages 1–2]</w:t>
      </w:r>
    </w:p>
    <w:p>
      <w:r>
        <w:t xml:space="preserve">C/1254/21  </w:t>
        <w:br/>
        <w:t xml:space="preserve">SANDFIRE / MATSA  </w:t>
        <w:br/>
        <w:t xml:space="preserve">RESOLUTION  </w:t>
        <w:br/>
        <w:t xml:space="preserve">SANDFIRE / MATSA  </w:t>
        <w:br/>
        <w:t xml:space="preserve">(C/1254/21)  </w:t>
        <w:br/>
        <w:t>COUNCIL. COMPETITION CHAMBER</w:t>
      </w:r>
    </w:p>
    <w:p>
      <w:r>
        <w:t xml:space="preserve">President  </w:t>
        <w:br/>
        <w:t>Ms. Cani Fernández Vicién</w:t>
      </w:r>
    </w:p>
    <w:p>
      <w:r>
        <w:t xml:space="preserve">Council Members  </w:t>
        <w:br/>
        <w:t xml:space="preserve">Ms. María Ortiz Aguilar  </w:t>
        <w:br/>
        <w:t xml:space="preserve">Ms. María Pilar Canedo Arrillaga  </w:t>
        <w:br/>
        <w:t xml:space="preserve">Mr. Carlos Aguilar Paredes  </w:t>
        <w:br/>
        <w:t>Mr. Josep Maria Salas Prat</w:t>
      </w:r>
    </w:p>
    <w:p>
      <w:r>
        <w:t xml:space="preserve">Secretary of the Council  </w:t>
        <w:br/>
        <w:t>Mr. Miguel Bordiu García-Ovies</w:t>
      </w:r>
    </w:p>
    <w:p>
      <w:r>
        <w:t>In Madrid, December 21, 2021</w:t>
      </w:r>
    </w:p>
    <w:p>
      <w:r>
        <w:t>The Competition Chamber has analyzed the merger file processed in accordance with Law 15/2007, of July 3, on the Defense of Competition, consisting of the acquisition by Sandfire Resources Limited (hereinafter, SANDFIRE) of exclusive control over Minas de Aguas Teñidas S.A. (hereinafter, MATSA) through the acquisition of all its share capital.</w:t>
      </w:r>
    </w:p>
    <w:p>
      <w:r>
        <w:t>In accordance with the report and proposal submitted by the Directorate of Competition, the Competition Chamber has resolved, pursuant to Article 57.2.a) of the aforementioned Law 15/2007, of July 3, to authorize the said merger operation.</w:t>
      </w:r>
    </w:p>
    <w:p>
      <w:r>
        <w:t>Likewise, it is necessary to analyze the operation taking into account the Communication from the European Commission on restrictions directly linked to the execution of a merger and necessary for that purpose (2005/C 56/03) and the practice of national competition authorities. This Chamber considers that it will not be deemed ancillary and necessary for the operation, thus remaining subject to the regulations on agreements between companies, the duration of supply agreements, insofar as they exceed the five (5) years set forth in the Communication. All of this in accordance with what is indicated in the aforementioned report proposal from the Directorate of Competition.</w:t>
      </w:r>
    </w:p>
    <w:p>
      <w:r>
        <w:t xml:space="preserve">National Commission of Markets and Competition 1 of 2  </w:t>
        <w:br/>
        <w:t xml:space="preserve">C/ Alcalá, 47 – 28014 Madrid - C/ Bolivia, 56 – 08018 Barcelona  </w:t>
        <w:br/>
        <w:t>www.cnmc.es</w:t>
      </w:r>
    </w:p>
    <w:p>
      <w:r>
        <w:t xml:space="preserve">C/1254/21  </w:t>
        <w:br/>
        <w:t>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