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https://www.cnmc.es/expedientes/c125521</w:t>
      </w:r>
    </w:p>
    <w:p>
      <w:r>
        <w:t>Pages translated : 2</w:t>
      </w:r>
    </w:p>
    <w:p/>
    <w:p>
      <w:r>
        <w:rPr>
          <w:b/>
        </w:rPr>
        <w:t>[Pages 1–2]</w:t>
      </w:r>
    </w:p>
    <w:p>
      <w:r>
        <w:t xml:space="preserve">C/1255/21  </w:t>
        <w:br/>
        <w:t xml:space="preserve">COLOPLAST / ATOS  </w:t>
        <w:br/>
        <w:t xml:space="preserve">RESOLUTION  </w:t>
        <w:br/>
        <w:t xml:space="preserve">COLOPLAST / ATOS  </w:t>
        <w:br/>
        <w:t xml:space="preserve">(C/1255/21)  </w:t>
        <w:br/>
        <w:t>COMPETITION COUNCIL CHAMBER</w:t>
      </w:r>
    </w:p>
    <w:p>
      <w:r>
        <w:t xml:space="preserve">President  </w:t>
        <w:br/>
        <w:t>Ms. Cani Fernández Vicién</w:t>
      </w:r>
    </w:p>
    <w:p>
      <w:r>
        <w:t xml:space="preserve">Council Members  </w:t>
        <w:br/>
        <w:t xml:space="preserve">Ms. María Ortiz Aguilar  </w:t>
        <w:br/>
        <w:t xml:space="preserve">Ms. María Pilar Canedo Arrillaga  </w:t>
        <w:br/>
        <w:t xml:space="preserve">Mr. Carlos Aguilar Paredes  </w:t>
        <w:br/>
        <w:t>Mr. Josep Maria Salas Prat</w:t>
      </w:r>
    </w:p>
    <w:p>
      <w:r>
        <w:t xml:space="preserve">Council Secretary  </w:t>
        <w:br/>
        <w:t>Mr. Miguel Bordiu García-Ovies</w:t>
      </w:r>
    </w:p>
    <w:p>
      <w:r>
        <w:t>In Madrid, December 21, 2021</w:t>
      </w:r>
    </w:p>
    <w:p>
      <w:r>
        <w:t>The Competition Chamber has analyzed the merger file processed in accordance with Law 15/2007, of July 3, on the Defense of Competition, consisting of the acquisition of exclusive control by COLOPLAST over ATOS. In accordance with the report and proposal submitted by the Competition Directorate, the Competition Chamber has resolved, pursuant to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any limitation on the acquisition or holding of shares in a competing company for exclusively financial investment purposes, which does not confer direct or indirect management functions or substantial influence over it, will not be considered ancillary and necessary for the operation, and will therefore be subject to the regulations on agreements between companies. All of this is in accordance with what is indicated in the aforementioned report proposal from the Competition Directorate.</w:t>
      </w:r>
    </w:p>
    <w:p>
      <w:r>
        <w:t xml:space="preserve">National Commission on Markets and Competition 1 of 2  </w:t>
        <w:br/>
        <w:t xml:space="preserve">C/ Alcalá, 47 – 28014 Madrid - C/ Bolivia, 56 – 08018 Barcelona  </w:t>
        <w:br/>
        <w:t>www.cnmc.es</w:t>
      </w:r>
    </w:p>
    <w:p>
      <w:r>
        <w:t xml:space="preserve">C/1255/21  </w:t>
        <w:br/>
        <w:t xml:space="preserve">COLOPLAST / ATOS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