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https://www.cnmc.es/expedientes/c125621</w:t>
      </w:r>
    </w:p>
    <w:p>
      <w:r>
        <w:t>Pages translated : 2</w:t>
      </w:r>
    </w:p>
    <w:p/>
    <w:p>
      <w:r>
        <w:rPr>
          <w:b/>
        </w:rPr>
        <w:t>[Pages 1–2]</w:t>
      </w:r>
    </w:p>
    <w:p>
      <w:r>
        <w:t xml:space="preserve">C/1256/21  </w:t>
        <w:br/>
        <w:t xml:space="preserve">PORTOBELLO/FERROVIAL SERVICIOS  </w:t>
        <w:br/>
        <w:t xml:space="preserve">RESOLUTION  </w:t>
        <w:br/>
        <w:t xml:space="preserve">PORTOBELLO/FERROVIAL SERVICIOS  </w:t>
        <w:br/>
        <w:t xml:space="preserve">(C/1256/21)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January 4, 2022</w:t>
      </w:r>
    </w:p>
    <w:p>
      <w:r>
        <w:t>The Competition Chamber has analyzed the merger file processed in accordance with Law 15/2007, of July 3, on the Defense of Competition, consisting of the acquisition of exclusive control of Ferrovial Servicios, S.A.U. (FERROVIAL SERVICIOS) by Portobello Capital, S.L. (PORTOBELLO), through the indirect purchase of 75.01% of its share capital. In accordance with the report and proposal submitted by the Directorate of Competition, the Competition Chamber has resolved, applying Article 57.2.a) of the aforementioned Law 15/2007, of July 3, to authorize the aforementioned merger operation.</w:t>
      </w:r>
    </w:p>
    <w:p>
      <w:r>
        <w:t>Likewise,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non-competition and non-solicitation clauses, to the extent that they exceed two years from the closing date, would not be considered ancillary restrictions to the operation nor would they be covered by its authorization and, if applicable, would be subject to the regulations on agreements between companies, regarding their application in the markets for the provision of catering or collective restoration services, management of sports centers, and provision of logistics services, markets in which the acquirer is already present, given that the notifying party has not demonstrated that, with the merger operation, it will acquire substantial technical or technological knowledge that it did not previously possess.</w:t>
      </w:r>
    </w:p>
    <w:p>
      <w:r>
        <w:t>As for the service provision agreement, as it is still pending final negotiation and signature, this Competition Chamber cannot assess the ancillary nature of the agreement that is ultimately adopted, so it remains subject to the regulations on agreements between companies in all that exceeds, both in its content and duration, what is established in the Communication from the European Commission. All of this 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