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https://www.cnmc.es/expedientes/c125721</w:t>
      </w:r>
    </w:p>
    <w:p>
      <w:r>
        <w:t>Pages translated : 2</w:t>
      </w:r>
    </w:p>
    <w:p/>
    <w:p>
      <w:r>
        <w:rPr>
          <w:b/>
        </w:rPr>
        <w:t>[Pages 1–2]</w:t>
      </w:r>
    </w:p>
    <w:p>
      <w:r>
        <w:t xml:space="preserve">C/1257/21  </w:t>
        <w:br/>
        <w:t xml:space="preserve">NEOLOGIC - MONTALT  </w:t>
        <w:br/>
        <w:t xml:space="preserve">RESOLUTION  </w:t>
        <w:br/>
        <w:t xml:space="preserve">NEOLOGIC - MONTALT  </w:t>
        <w:br/>
        <w:t xml:space="preserve">(C/1257/21)  </w:t>
        <w:br/>
        <w:t>COUNCIL. COMPETITION CHAMBER</w:t>
      </w:r>
    </w:p>
    <w:p>
      <w:r>
        <w:t xml:space="preserve">President  </w:t>
        <w:br/>
        <w:t>Ms. Cani Fernández Vicién</w:t>
      </w:r>
    </w:p>
    <w:p>
      <w:r>
        <w:t xml:space="preserve">Counselors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García-Ovies</w:t>
      </w:r>
    </w:p>
    <w:p>
      <w:r>
        <w:t>In Madrid, January 4, 2022</w:t>
      </w:r>
    </w:p>
    <w:p>
      <w:r>
        <w:t>The Competition Chamber has analyzed the merger file processed in accordance with Law 15/2007, of July 3, on the Defense of Competition, consisting of the acquisition by GM NEOLOGIC, S.L.U. (NEOLOGIC), of exclusive control of Grupo Montalt Servicar, S.L. (MONTALT) through the acquisition of 100% of the shares of MONTALT, as well as its respective wholly-owned subsidiaries. In accordance with the report and the proposal submitted by the Directorate of Competition, the Competition Chamber has resolved, applying Article 57.2.a) of the aforementioned Law 15/2007, of July 3, to authorize the aforementioned merger operation.</w:t>
      </w:r>
    </w:p>
    <w:p>
      <w:r>
        <w:t>Likewise, it is appropriate to analyze the operation taking into account the Communication from the European Commission on restrictions directly linked to the execution of a merger and necessary for that purpose (2005/C 56/03) and the practice of national competition authorities. This Chamber considers that the non-solicitation agreement included in the purchase agreement can be considered accessory to the merger operation and should be understood as included within it and authorized, if applicable, with it. Regarding the non-competition agreement, it is considered accessory to the operation except for the limitation related to the holding of shares for exclusively financial investment purposes, which remains subject to the regulations on agreements between companies. All of this in accordance with what is indicated in the aforementioned report proposal from the Directorate of Competition.</w:t>
      </w:r>
    </w:p>
    <w:p>
      <w:r>
        <w:t xml:space="preserve">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on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