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https://www.cnmc.es/expedientes/c125821</w:t>
      </w:r>
    </w:p>
    <w:p>
      <w:r>
        <w:t>Pages translated : 1</w:t>
      </w:r>
    </w:p>
    <w:p/>
    <w:p>
      <w:r>
        <w:rPr>
          <w:b/>
        </w:rPr>
        <w:t>[Pages 1–1]</w:t>
      </w:r>
    </w:p>
    <w:p>
      <w:r>
        <w:t xml:space="preserve">C/1258/21  </w:t>
        <w:br/>
        <w:t xml:space="preserve">OPTRUST-USS-LOMA-ALTER/ALTERENERSUN CACERES DOS  </w:t>
        <w:br/>
        <w:t xml:space="preserve">RESOLUTION  </w:t>
        <w:br/>
        <w:t xml:space="preserve">OPTRUST-USS-LOMA-ALTER/ALTERENERSUN CACERES DOS  </w:t>
        <w:br/>
        <w:t xml:space="preserve">(C/1258/21)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January 19, 2022</w:t>
      </w:r>
    </w:p>
    <w:p>
      <w:r>
        <w:t>The Competition Chamber has analyzed the merger file processed in accordance with Law 15/2007, of July 3, on the Defense of Competition, consisting of the acquisition of joint control of the company Alter Enersun Cáceres Dos S.L. (hereinafter, ALTER CACERES DOS) by OPSEU Pension Trust Fund (hereinafter, OPTRUST), Universities Superannuation Scheme (hereinafter, USSL), LOMA Management Investment 2015 S.L. (hereinafter, LOMA) and ALTER Enersun S.A. (hereinafter, ALTER) through the vehicle company Bruc Alter Energías Renovables S.L. (hereinafter, BRUC-ALTER). According to the report and proposal submitted by the Directorate of Competition, the Competition Chamber has resolved, in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