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https://www.cnmc.es/expedientes/c126021</w:t>
      </w:r>
    </w:p>
    <w:p>
      <w:r>
        <w:t>Pages translated : 1</w:t>
      </w:r>
    </w:p>
    <w:p/>
    <w:p>
      <w:r>
        <w:rPr>
          <w:b/>
        </w:rPr>
        <w:t>[Pages 1–1]</w:t>
      </w:r>
    </w:p>
    <w:p>
      <w:r>
        <w:t xml:space="preserve">C/1260/22  </w:t>
        <w:br/>
        <w:t xml:space="preserve">DELIVERY HERO/GLOVO  </w:t>
        <w:br/>
        <w:t xml:space="preserve">RESOLUTION  </w:t>
        <w:br/>
        <w:t xml:space="preserve">DELIVERY HERO / GLOVO  </w:t>
        <w:br/>
        <w:t xml:space="preserve">(C/1260/22)  </w:t>
        <w:br/>
        <w:t xml:space="preserve">COMPETITION CHAMBER COUNCIL  </w:t>
        <w:br/>
        <w:t xml:space="preserve">President  </w:t>
        <w:br/>
        <w:t xml:space="preserve">Ms. Cani Fernández Vicién  </w:t>
        <w:br/>
        <w:t xml:space="preserve">Councilors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February 23, 2022  </w:t>
        <w:br/>
        <w:t xml:space="preserve">The Competition Chamber has analyzed the merger file processed in accordance with Law 15/2007, of July 3, on the Defense of Competition, consisting of the acquisition of exclusive control of Glovoapp23, S.L. (GLOVO) by Delivery Hero SE (DH) through the purchase of shares from a series of shareholders. In accordance with the report and proposal submitted by the Competition Directorate, the Competition Chamber has resolved, applying Article 57.2.a) of the aforementioned Law 15/2007, of July 3, to authorize the aforementioned merger operation.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