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https://www.cnmc.es/expedientes/c126122</w:t>
      </w:r>
    </w:p>
    <w:p>
      <w:r>
        <w:t>Pages translated : 1</w:t>
      </w:r>
    </w:p>
    <w:p/>
    <w:p>
      <w:r>
        <w:rPr>
          <w:b/>
        </w:rPr>
        <w:t>[Pages 1–1]</w:t>
      </w:r>
    </w:p>
    <w:p>
      <w:r>
        <w:t xml:space="preserve">C/1261/22  </w:t>
        <w:br/>
        <w:t xml:space="preserve">TRILANTIC - REINVERSORES - GRANSOLAR  </w:t>
        <w:br/>
        <w:t xml:space="preserve">RESOLUTION  </w:t>
        <w:br/>
        <w:t xml:space="preserve">TRILANTIC - REINVERSORES - GRANSOLAR  </w:t>
        <w:br/>
        <w:t xml:space="preserve">(C/1261/22)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February 2, 2022</w:t>
      </w:r>
    </w:p>
    <w:p>
      <w:r>
        <w:t>The Competition Chamber has analyzed the concentration file processed in accordance with Law 15/2007, of July 3, on the Defense of Competition, consisting of the joint control acquisition by Trilantic Europe VI GP S.à r.l. (hereinafter TRILANTIC) and the Syndicate of Reinvestors (hereinafter, REINVERSORES) over Grupo Gransolar, S.L. (hereinafter, GRANSOLAR). According to the report and the proposal submitted by the Directorate of Competition, the Competition Chamber has resolved, in application of Article 57.2.a) of the aforementioned Law 15/2007, of July 3, to authorize the aforementioned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