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https://www.cnmc.es/expedientes/c126222</w:t>
      </w:r>
    </w:p>
    <w:p>
      <w:r>
        <w:t>Pages translated : 2</w:t>
      </w:r>
    </w:p>
    <w:p/>
    <w:p>
      <w:r>
        <w:rPr>
          <w:b/>
        </w:rPr>
        <w:t>[Pages 1–2]</w:t>
      </w:r>
    </w:p>
    <w:p>
      <w:r>
        <w:t>C/1262/22 ALGECO / BALAT RESOLUTION FILE ALGECO / BALAT (C/1262/22) COUNCIL. COMPETITION CHAMBER President Ms. Cani Fernández Vicién Councilors Mr. Carlos Aguilar Paredes Mr. Josep Maria Salas Prat Ms. María Jesús Martín Martínez Mr. Bernardo Lorenzo Almendros Secretary of the Council Mr. Miguel Bordiu Garcia-Ovies In Madrid, on February 8, 2023 The Competition Chamber resolved, on May 11, 2022, a resolution in the first phase, in accordance with Article 57.1 of Law 15/2007, of July 3, on the Defense of Competition, by which it was agreed to initiate the second phase of the procedure in accordance with Article 57.2.c) of the aforementioned Law, considering that the cited operation could hinder the maintenance of effective competition in all or some of the analyzed markets. On January 17, 2023, the Directorate of Competition prepared and notified a statement of facts, in application of the provisions of Article 58.2 of the LDC. On January 25, 2023, the Notifying Party submitted a document to the Directorate of Competition explaining that in accordance with clause 3.1. of the Sales Purchase Agreement (SPA), the acquisition and transfer of the shares was conditioned upon obtaining the authorization of the National Commission of Markets and Competition (CNMC) before the deadline, initially set for April 19, 2022. This deadline was subsequently extended several times, specifically on April 1, 2022, July 18, 2022, and October 13, 2022, establishing this last extension as the new deadline of January 19, 2023. In this context, the Notifying Party informs that the parties to the operation have mutually agreed not to extend this deadline, which has resulted in the automatic termination of the SPA. In accordance with the report and proposal submitted by the Directorate of Competition, the Competition Chamber has resolved, in application of Article 58.4.d) of the aforementioned Law 15/2007, of July 3, to agree to archive the proceedings.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