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https://www.cnmc.es/expedientes/c126322</w:t>
      </w:r>
    </w:p>
    <w:p>
      <w:r>
        <w:t>Pages translated : 1</w:t>
      </w:r>
    </w:p>
    <w:p/>
    <w:p>
      <w:r>
        <w:rPr>
          <w:b/>
        </w:rPr>
        <w:t>[Pages 1–1]</w:t>
      </w:r>
    </w:p>
    <w:p>
      <w:r>
        <w:t xml:space="preserve">C/1263/22  </w:t>
        <w:br/>
        <w:t xml:space="preserve">NORTON / AVAST  </w:t>
        <w:br/>
        <w:t xml:space="preserve">RESOLUTION  </w:t>
        <w:br/>
        <w:t xml:space="preserve">NORTON / AVAST  </w:t>
        <w:br/>
        <w:t xml:space="preserve">(C/1263/22)  </w:t>
        <w:br/>
        <w:t>COUNCIL. COMPETITION CHAMBER</w:t>
      </w:r>
    </w:p>
    <w:p>
      <w:r>
        <w:t xml:space="preserve">President  </w:t>
        <w:br/>
        <w:t>Ms. Cani Fernández Vicién</w:t>
      </w:r>
    </w:p>
    <w:p>
      <w:r>
        <w:t xml:space="preserve">Councilors  </w:t>
        <w:br/>
        <w:t xml:space="preserve">Ms. María Ortiz Aguilar  </w:t>
        <w:br/>
        <w:t xml:space="preserve">Ms. María Pilar Canedo Arrillaga  </w:t>
        <w:br/>
        <w:t xml:space="preserve">Mr. Carlos Aguilar Paredes  </w:t>
        <w:br/>
        <w:t>Mr. Josep Maria Salas Prat</w:t>
      </w:r>
    </w:p>
    <w:p>
      <w:r>
        <w:t xml:space="preserve">Secretary of the Council  </w:t>
        <w:br/>
        <w:t>Mr. Miguel Bordiu García-Ovies</w:t>
      </w:r>
    </w:p>
    <w:p>
      <w:r>
        <w:t>In Madrid, February 23, 2022</w:t>
      </w:r>
    </w:p>
    <w:p>
      <w:r>
        <w:t>The Competition Chamber has analyzed the merger file processed in accordance with Law 15/2007, of July 3, on the Defense of Competition, consisting of the acquisition by NORTONLIFELOCK INC (NORTON) of exclusive control of AVAST PLC (AVAST) through a public offer to acquire shares via a framework agreement. In accordance with the report and proposal submitted by the Competition Directorate, the Competition Chamber has resolved, under the application of Article 57.2.a) of the aforementioned Law 15/2007, of July 3, to authorize the aforementioned merger operation.</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on Markets and Competition  </w:t>
        <w:br/>
        <w:t xml:space="preserve">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