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https://www.cnmc.es/expedientes/c126522</w:t>
      </w:r>
    </w:p>
    <w:p>
      <w:r>
        <w:t>Pages translated : 1</w:t>
      </w:r>
    </w:p>
    <w:p/>
    <w:p>
      <w:r>
        <w:rPr>
          <w:b/>
        </w:rPr>
        <w:t>[Pages 1–1]</w:t>
      </w:r>
    </w:p>
    <w:p>
      <w:r>
        <w:t xml:space="preserve">C/1265/22  </w:t>
        <w:br/>
        <w:t xml:space="preserve">CLARIOS- MEMESA  </w:t>
        <w:br/>
        <w:t xml:space="preserve">RESOLUTION  </w:t>
        <w:br/>
        <w:t xml:space="preserve">CLARIOS- MEMESA  </w:t>
        <w:br/>
        <w:t xml:space="preserve">(C/1265/22)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16, 2022</w:t>
      </w:r>
    </w:p>
    <w:p>
      <w:r>
        <w:t>The Competition Chamber has analyzed the merger file processed in accordance with Law 15/2007, of July 3, on the Defense of Competition, consisting of the acquisition by CLARIOS IBERIA P&amp;D, S.L. (hereinafter, CLARIOS IBERIA) of exclusive control of METALÚRGICA DE MEDINA, S.A. (hereinafter, MEMESA), a company dedicated to the manufacture and marketing of lead and lead alloys. According to the report and the proposal submitted by the Directorate of Competition, the Competition Chamber has resolved, in application of Article 57.2.a)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of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