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https://www.cnmc.es/expedientes/c126622</w:t>
      </w:r>
    </w:p>
    <w:p>
      <w:r>
        <w:t>Pages translated : 2</w:t>
      </w:r>
    </w:p>
    <w:p/>
    <w:p>
      <w:r>
        <w:rPr>
          <w:b/>
        </w:rPr>
        <w:t>[Pages 1–2]</w:t>
      </w:r>
    </w:p>
    <w:p>
      <w:r>
        <w:t xml:space="preserve">C/1266/22  </w:t>
        <w:br/>
        <w:t xml:space="preserve">PROA CAPITAL / HIJOLUSA  </w:t>
        <w:br/>
        <w:t xml:space="preserve">RESOLUTION  </w:t>
        <w:br/>
        <w:t xml:space="preserve">PROA CAPITAL / HIJOLUSA  </w:t>
        <w:br/>
        <w:t xml:space="preserve">(C/1266/22)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January 26, 2022</w:t>
      </w:r>
    </w:p>
    <w:p>
      <w:r>
        <w:t>The Competition Chamber has analyzed the concentration file processed in accordance with Law 15/2007, of July 3, on the Defense of Competition, consisting of the entry of PROA CAPITAL IBERIAN BUYOUT FUND III F.C.R. (hereinafter, ProA Fund) through BRADFORD CAPITAL S.L (a newly created company, hereinafter, BRADFORD) into the joint control of INVERSIONES PUENTEHIERRO S.L. (hereinafter, PUENTEHIERRO), together with the two pre-existing partners INVERSIONES Y ANÁLISIS MARLOTA S.L. (hereinafter, MARLOTA) and INVERSIONES VALDEFUEYO S.L. (hereinafter, VALDEFUEYO). In accordance with the report and proposal submitted by the Competition Directorate, the Competition Chamber has resolved, under the application of Article 57.2.a) of the aforementioned Law 15/2007, of July 3, to authorize the aforementioned concentration operation.</w:t>
      </w:r>
    </w:p>
    <w:p>
      <w: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duration of the non-compete and non-solicitation clauses will not be considered accessory and necessary for the operation, and therefore will be subject to the regulations on agreements between companies to the extent that they exceed the duration of the contractual relationship and/or the duration of the partner status of the TARGET. All of this in accordance with what is indicated in the aforementioned report proposal from the Competition Directorate.</w:t>
      </w:r>
    </w:p>
    <w:p>
      <w: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